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DE" w:rsidRPr="00EE7AB1" w:rsidRDefault="00EE7AB1" w:rsidP="00554CDB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 xml:space="preserve">             </w:t>
      </w:r>
    </w:p>
    <w:tbl>
      <w:tblPr>
        <w:tblW w:w="9356" w:type="dxa"/>
        <w:tblInd w:w="1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EE7AB1" w:rsidRPr="00EE7AB1" w:rsidTr="00C566DE">
        <w:tc>
          <w:tcPr>
            <w:tcW w:w="9356" w:type="dxa"/>
            <w:vAlign w:val="center"/>
            <w:hideMark/>
          </w:tcPr>
          <w:p w:rsidR="00C566DE" w:rsidRPr="00C566DE" w:rsidRDefault="00C566DE" w:rsidP="00554C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br/>
            </w:r>
            <w:r w:rsidRPr="00C56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k-KZ"/>
              </w:rPr>
              <w:t>ВЫБОР ОПТИМАЛЬНЫХ </w:t>
            </w:r>
            <w:hyperlink r:id="rId4" w:history="1">
              <w:r w:rsidRPr="00EE7AB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kk-KZ"/>
                </w:rPr>
                <w:t>МЕТОДОВ РЕШЕНИЯ ЛОГИЧЕСКИХ ЗАДАН</w:t>
              </w:r>
            </w:hyperlink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br/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br/>
            </w:r>
            <w:r w:rsidRPr="00C56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k-KZ"/>
              </w:rPr>
              <w:t>ИЙ (ВЫПОЛНЕНИЕ ЗАДАНИЙ ПО МАТЕМАТИКЕ В ФОРМАТЕ PISA)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br/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br/>
            </w:r>
            <w:r w:rsidRPr="00EE7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KZ" w:eastAsia="kk-KZ"/>
              </w:rPr>
              <w:t>Ж</w:t>
            </w:r>
            <w:r w:rsidRPr="00C56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k-KZ"/>
              </w:rPr>
              <w:t>абагина Гульнар Кенесовна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br/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br/>
            </w:r>
            <w:r w:rsidRPr="00EE7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KZ" w:eastAsia="kk-KZ"/>
              </w:rPr>
              <w:t>Город Алматы</w:t>
            </w:r>
            <w:r w:rsidRPr="00EE7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k-KZ"/>
              </w:rPr>
              <w:t>, А</w:t>
            </w:r>
            <w:r w:rsidRPr="00EE7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KZ" w:eastAsia="kk-KZ"/>
              </w:rPr>
              <w:t xml:space="preserve">лмалинский </w:t>
            </w:r>
            <w:r w:rsidRPr="00C56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k-KZ"/>
              </w:rPr>
              <w:t xml:space="preserve"> район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br/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br/>
            </w:r>
            <w:r w:rsidRPr="00EE7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KZ" w:eastAsia="kk-KZ"/>
              </w:rPr>
              <w:t xml:space="preserve">Учебно- воспитательный комплекс “Арман”, </w:t>
            </w:r>
            <w:r w:rsidRPr="00C56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k-KZ"/>
              </w:rPr>
              <w:t>учитель математики</w:t>
            </w:r>
          </w:p>
          <w:p w:rsidR="00C566DE" w:rsidRPr="00C566DE" w:rsidRDefault="00EE7AB1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                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Математическая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подготовка15-летних учащихся, которую исследует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PISA,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 основном дает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возможность выполнить задания международного теста.</w:t>
            </w:r>
          </w:p>
          <w:p w:rsidR="00C566DE" w:rsidRPr="00C566DE" w:rsidRDefault="00EE7AB1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             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современной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школе изучаются математические факты и математические методы,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необходимые для решения большинства задач, включенных в международные тесты.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Некоторые необходимые сведения о пространственных фигурах, возрастных диаграммах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населения и графиках кусочных функций учащиеся получают в 10-11 классах.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Почти все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задачи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предлагаются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 нестандартной для учащихся формулировке, которая значительно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отличается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от учебных заданий, типичных для большинства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действующих учебников. 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именно, в этих задачах достаточно многословно описывается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некоторая близкая к реальной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ситуация, которая может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включать факты и данные,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 не являющиеся необходимыми для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решения поставленной проблемы.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 ряде случаев задача сф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ормулирована таким образом, что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учащиеся не могут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отнести ее к какому-либо определе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нному разделу курса математики,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чтобы для ее решения воспользоваться соответствующ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ими теоретическими фактами. Что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удивительно, что значительная часть учащихся затрудняется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составить математическую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модель подобных ситуаций.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Отдельные задачи требуют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либо приближенных методов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решения, использование которых не практикуется при обуч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ении математике, либо выполнить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только простейшие непосредственные вычисления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, что зачастую смущает15-летних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учащихся.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 некоторых случаях требуется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 учетом содержания за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дания интерпретировать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полученное решение и отобрать ответ, отвечающий услов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ию задачи. Невысокие результаты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выполнения таких заданий в ряде случаев объясняются от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сутствием у учащихся привычки к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самоконтролю. В практике работы школы не обращается особого вн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имания на анализ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полученного ответа при решении учебных заданий, так как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 в большинстве случаев этого не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требуется в условиях искусственной учебной ситуации.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          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 проведенном исследовании можно выделить относит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ельно небольшой перечень знаний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 умений, которые на международном уровне считаютс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я необходимыми для современного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математически грамотного человека. К ним, наприм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ер, относятся: пространственные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представления; умение читать и интерпретиро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вать количественную информацию,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представленную в различной форме; работа с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 формулами; знаковые и числовые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последовательности; нахождение периметра и площадей 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нестандартных фигур; выполнение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действий с процентами и др.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 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 сожалению, формировани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ю этих практико-ориентированных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знаний и умений в школе не уделяется должного внимания.</w:t>
            </w:r>
          </w:p>
          <w:p w:rsidR="00C566DE" w:rsidRPr="00C566DE" w:rsidRDefault="00554CDB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          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Под математической грамотностью понимается </w:t>
            </w:r>
            <w:hyperlink r:id="rId5" w:history="1">
              <w:r w:rsidR="00C566DE" w:rsidRPr="00EE7A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kk-KZ"/>
                </w:rPr>
                <w:t>способность учащихся</w:t>
              </w:r>
            </w:hyperlink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: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>-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распознавать проблемы , возникающие в окружающей действительности, которые могут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быть решены средствами математики;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-формулировать эти проблемы на языке математики;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-решать эти проблемы, используя математические факты и методы;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-анализировать использованные методы решения;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-интерпретировать полученные результаты с учетом поставленной проблемы;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-формулировать и записывать результаты решения</w:t>
            </w:r>
          </w:p>
          <w:p w:rsidR="00C566DE" w:rsidRPr="00C566DE" w:rsidRDefault="00554CDB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lastRenderedPageBreak/>
              <w:t xml:space="preserve">       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Чтобы проиллюстрировать, как именно проверяется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личие этих умений в рамках всех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трех направлений, безусловно, следует привести примеры заданий PISA . Заметим , что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каждое из заданий включает текст, в котором описывается некоторая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 ситуация или какая-то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проблема, и несколько </w:t>
            </w:r>
            <w:hyperlink r:id="rId6" w:history="1">
              <w:r w:rsidRPr="00EE7A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kk-KZ"/>
                </w:rPr>
                <w:t>вопросов различной трудности</w:t>
              </w:r>
            </w:hyperlink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 Анал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из показывает, что эти вопросы,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как правило, точечно нацелены на диагностику того 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или иного из перечисленных выше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умений и, в меньшей степени, на проверку предметных знаний.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        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Из задания «Результаты тестирования» (математическая грамотность)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«Посмотрев на диаграмму (в задании приведена диаграмма – А.П.), учитель сделал вывод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 том, что группа В лучше выполнила тест, чем группа А. Учащиеся группы А не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согласились с учителем. Они постарались убедить его в том, что группа В не обязательно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выполнила тест лучше. Основываясь на диаграмме, приведите один математический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аргумент, которым могли бы воспользоваться учащиеся группы А».</w:t>
            </w:r>
          </w:p>
          <w:p w:rsidR="00C566DE" w:rsidRPr="00EE7AB1" w:rsidRDefault="00554CDB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        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Вводят их в заблуждение и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следующие вопросы, требующие рассуждений:</w:t>
            </w:r>
          </w:p>
          <w:p w:rsidR="00C566DE" w:rsidRPr="00EE7AB1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 «Если 40% населения - старше 60 лет, может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ли средний возраст населения быть 30 лет?» 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«Как могут одновременно расти доход на душу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населения и падать семейные доходы?»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Безотносительно к содержанию заданий, постараемся понять, что означают вопросы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подобного типа, которых немало в PISA. Тесты PISA как бы говорят нам, что критическая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позиция возможна по отношению к любому утверждению, кто бы его ни сделал: учитель,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ученый, политик, газета, защитники окружающей среды. Однако эта критическая позиция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должна обязательно обосновы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ваться подходящими аргументами: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>и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нтеграция страны в мировое образовател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ьное пространство обуславливает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необходимость в соответствии с требованиями госуд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арства и общества ориентировать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обучение подрастающего поколения на развитие компетенций, </w:t>
            </w:r>
            <w:hyperlink r:id="rId7" w:history="1">
              <w:r w:rsidRPr="00EE7A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kk-KZ"/>
                </w:rPr>
                <w:t>способствующих реализации</w:t>
              </w:r>
            </w:hyperlink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концепции «Образование на протяжении всей жизни».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          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Особенностью современной школы является измене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ние образовательной парадигмы в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соответствии с логикой компетентностного подх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ода: от цели усвоения учащимися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конкретных предметных знаний, умений и навыков в рам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ках отдельных учебных дисциплин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 цели развития личностных, социальных, п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ознавательных и коммуникативных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способностей школьников, обеспечивающих у них 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такую ключевую компетенцию, как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умение учиться, и благоприятствующих их саморазвитию и самос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овершенствованию, что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отражается в функциональной грамотности школьников.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       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Традиционно основной задачей исследований качества математического образования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является оценка учебных достижений учащихся, т.е. оценка овладения конкретными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hyperlink r:id="rId8" w:history="1">
              <w:r w:rsidRPr="00EE7A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kk-KZ"/>
                </w:rPr>
                <w:t>вопросами содержания школьных курсов</w:t>
              </w:r>
            </w:hyperlink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 математики. Однако результаты других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исследований показывают, что выпускники школы, овладевшие вопросами содержания,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далеко не всегда способны применять полученные знания 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 повседневной жизни. Очевидно,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что от развития этой </w:t>
            </w:r>
            <w:hyperlink r:id="rId9" w:history="1">
              <w:r w:rsidRPr="00EE7A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kk-KZ"/>
                </w:rPr>
                <w:t>способности существенно зависит</w:t>
              </w:r>
            </w:hyperlink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 возможность активного участия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выпускника в жизни современного общества. Это и опред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елило главную цель исследования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PISA – оценить способность 15-летних учащихся использо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вать полученные знания и умения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для решения широкого круга проблем, возникающих 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 повседневной жизни, и выявить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тенденции развития этой способности. Выбор дан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ной цели привел к необходимости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изменить подходы к определению содержания и 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разработке всего инструментария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исследования состояния математической подготовки 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учащихся по сравнению с другими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мониторинговыми исследованиями.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Содержание оценки математической подготовки 15-летних учащихся основано на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понятии математической грамотности – «способности чело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века определять и понимать роль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математики в мире, в котором он живет, высказывать хор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ошо обоснованные математические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суждения и использовать математику так, чтобы удов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летворять в настоящем и будущем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потребности, присущие созидательному, заинтересованному и мыслящему гражданину».</w:t>
            </w:r>
          </w:p>
          <w:p w:rsidR="00554CDB" w:rsidRDefault="00554CDB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</w:p>
          <w:p w:rsidR="00C566DE" w:rsidRPr="00C566DE" w:rsidRDefault="00554CDB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lastRenderedPageBreak/>
              <w:t xml:space="preserve">        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Целью </w:t>
            </w:r>
            <w:r w:rsidR="00C566DE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>моей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 xml:space="preserve"> работы явилось исследование по выявлению новых способов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продуктивного развития универсальных учебных действий при решении задач на уроках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математики в системе общего среднего образования, направленных на формирование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математической грамотности школьника.</w:t>
            </w:r>
          </w:p>
          <w:p w:rsidR="00C566DE" w:rsidRPr="00C566DE" w:rsidRDefault="00554CDB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      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Математическая грамотность включает в себя навыки поиска и интерпретации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математической информации, решения математических задач в различных жизненных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ситуации. Информация может быть представлена в виде: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рисунков;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цифр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;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математических символов;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формул;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диаграмм;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карт;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таблиц;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текст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>ов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;</w:t>
            </w:r>
            <w:r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с помощью технических способов визуализации материала.</w:t>
            </w:r>
          </w:p>
          <w:p w:rsidR="00C566DE" w:rsidRPr="00C566DE" w:rsidRDefault="00554CDB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     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 исследовании тестировались три составляющих мат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ематической грамотности: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находить и отбирать информацию; производить арифмет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ические действия и применять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для решения конкретных задач; интерпретировать, оценивать и </w:t>
            </w:r>
            <w:hyperlink r:id="rId10" w:history="1">
              <w:r w:rsidR="00C566DE" w:rsidRPr="00EE7A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kk-KZ"/>
                </w:rPr>
                <w:t>анализировать данные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. 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="00C566DE"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реальной жизни все три группы навыков могут быть задействованы одновременно.</w:t>
            </w:r>
          </w:p>
          <w:p w:rsidR="00C566DE" w:rsidRPr="00554CDB" w:rsidRDefault="00C566DE" w:rsidP="00554CD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kk-KZ"/>
              </w:rPr>
            </w:pPr>
            <w:r w:rsidRPr="00554C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kk-KZ"/>
              </w:rPr>
              <w:t>Умение находить и отбирать информацию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Практически в любой ситуации человек должен уметь найти и отобрать необходимую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информацию, отвечающую заданным требованиям. Эти на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выки тесно связаны с пониманием</w:t>
            </w:r>
            <w:r w:rsidR="0055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информации и умением осуществлять простые арифметические действия.</w:t>
            </w:r>
          </w:p>
          <w:p w:rsidR="00C566DE" w:rsidRPr="00554CDB" w:rsidRDefault="00C566DE" w:rsidP="00554CD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kk-KZ"/>
              </w:rPr>
            </w:pPr>
            <w:r w:rsidRPr="00554C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kk-KZ"/>
              </w:rPr>
              <w:t>Арифметические действия и использование информации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 некоторых ситуациях человек должен быть знаком с математическими методами,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процедурами и правилами. Использование информации предполагает умение производить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различные вычисления и подсчеты, отбирать и упорядочивать информацию, использовать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измерительные приборы, а также применять формулы.</w:t>
            </w:r>
          </w:p>
          <w:p w:rsidR="00C566DE" w:rsidRPr="00554CDB" w:rsidRDefault="00C566DE" w:rsidP="00554CD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kk-KZ"/>
              </w:rPr>
            </w:pPr>
            <w:bookmarkStart w:id="0" w:name="_GoBack"/>
            <w:r w:rsidRPr="00554C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kk-KZ"/>
              </w:rPr>
              <w:t>Интерпретация, оценка и анализ данных</w:t>
            </w:r>
          </w:p>
          <w:bookmarkEnd w:id="0"/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Интерпретация включает в себя понимание значения информации, умение делать выводы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на основе математических или статистических данных. Это также необходимо для оценки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информации и формирования своего мнения. Например, при распознавании тенденций,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изменений и различий в графиках. Навыки интерпретации могут быть связаны не только с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численной информацией (цифрами и статистическими данными), но и с более широкими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математическими и статистическими понятиями такими, как темп изменений, пропорции,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расчет дивидендов, выборка, ошибка, корреляция, возможные риски и причинные связи.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Навыки оценки и </w:t>
            </w:r>
            <w:hyperlink r:id="rId11" w:history="1">
              <w:r w:rsidRPr="00EE7A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kk-KZ"/>
                </w:rPr>
                <w:t>анализа данных могут понадобиться при</w:t>
              </w:r>
            </w:hyperlink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 решении конкретных проблем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 условиях технически насыщенной среды. Например, при обработке первичной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количественной информации, извлечении и объединении данных из многочисленных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источников после оценки их соответствия текущим задачам (в т.ч. сравнение информации из</w:t>
            </w:r>
            <w:r w:rsidR="00EE7AB1" w:rsidRPr="00EE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kk-KZ"/>
              </w:rPr>
              <w:t xml:space="preserve"> </w:t>
            </w: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различных источников).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Важной характеристикой математической грамотности являются коммуникативные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навыки. Человек должен уметь представлять и разъяснять математическую информацию,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описывать результаты своих действий, интерпретировать, обосновывать логику своего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анализа или оценки. Делать это как устно, так и письменно (от простых чисел и слов до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развернутых детальных объяснений), а также с помощью рисунков (диаграмм, карт,</w:t>
            </w:r>
          </w:p>
          <w:p w:rsidR="00C566DE" w:rsidRPr="00C566DE" w:rsidRDefault="00C566DE" w:rsidP="00554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</w:pPr>
            <w:r w:rsidRPr="00C56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k-KZ"/>
              </w:rPr>
              <w:t>графиков) и различных компьютерных средств.</w:t>
            </w:r>
          </w:p>
        </w:tc>
      </w:tr>
    </w:tbl>
    <w:p w:rsidR="006B51BC" w:rsidRPr="00EE7AB1" w:rsidRDefault="006B51BC" w:rsidP="00554CDB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sectPr w:rsidR="006B51BC" w:rsidRPr="00EE7AB1" w:rsidSect="004B6242">
      <w:type w:val="continuous"/>
      <w:pgSz w:w="11920" w:h="16850" w:code="9"/>
      <w:pgMar w:top="1360" w:right="300" w:bottom="1200" w:left="240" w:header="0" w:footer="93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DE"/>
    <w:rsid w:val="004B6242"/>
    <w:rsid w:val="00554CDB"/>
    <w:rsid w:val="006B51BC"/>
    <w:rsid w:val="00C566DE"/>
    <w:rsid w:val="00EE7AB1"/>
    <w:rsid w:val="00F7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9420"/>
  <w15:chartTrackingRefBased/>
  <w15:docId w15:val="{F95EDED1-1FFD-4856-864B-6845C9D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AE"/>
  </w:style>
  <w:style w:type="paragraph" w:styleId="1">
    <w:name w:val="heading 1"/>
    <w:basedOn w:val="a"/>
    <w:next w:val="a"/>
    <w:link w:val="10"/>
    <w:uiPriority w:val="9"/>
    <w:qFormat/>
    <w:rsid w:val="00F717A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F717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17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717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unhideWhenUsed/>
    <w:qFormat/>
    <w:rsid w:val="00F71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717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unhideWhenUsed/>
    <w:qFormat/>
    <w:rsid w:val="00F717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F717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F717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7AE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F717A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17A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17AE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rsid w:val="00F717A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717A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rsid w:val="00F717A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F717A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F717A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717AE"/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F717AE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717AE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17AE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717AE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F717AE"/>
    <w:rPr>
      <w:b/>
      <w:bCs/>
    </w:rPr>
  </w:style>
  <w:style w:type="character" w:styleId="a9">
    <w:name w:val="Emphasis"/>
    <w:basedOn w:val="a0"/>
    <w:uiPriority w:val="20"/>
    <w:qFormat/>
    <w:rsid w:val="00F717AE"/>
    <w:rPr>
      <w:i/>
      <w:iCs/>
    </w:rPr>
  </w:style>
  <w:style w:type="paragraph" w:styleId="aa">
    <w:name w:val="No Spacing"/>
    <w:uiPriority w:val="1"/>
    <w:qFormat/>
    <w:rsid w:val="00F717AE"/>
  </w:style>
  <w:style w:type="paragraph" w:styleId="ab">
    <w:name w:val="List Paragraph"/>
    <w:basedOn w:val="a"/>
    <w:uiPriority w:val="34"/>
    <w:qFormat/>
    <w:rsid w:val="00F717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17AE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17A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717A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F717AE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F717AE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F717AE"/>
    <w:rPr>
      <w:b w:val="0"/>
      <w:bCs w:val="0"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F717AE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F717AE"/>
    <w:rPr>
      <w:b/>
      <w:bCs/>
      <w:smallCaps/>
      <w:color w:val="5B9BD5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F717AE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F717AE"/>
    <w:pPr>
      <w:outlineLvl w:val="9"/>
    </w:pPr>
  </w:style>
  <w:style w:type="character" w:styleId="af4">
    <w:name w:val="Hyperlink"/>
    <w:basedOn w:val="a0"/>
    <w:uiPriority w:val="99"/>
    <w:semiHidden/>
    <w:unhideWhenUsed/>
    <w:rsid w:val="00C566DE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C56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irsaba.org/programma-kursov-povisheniya-kvalifikaci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mirsaba.org/sro-10-primenenie-pravovih-norm-tolkovanie-normativnih-pravovi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irsaba.org/raznourovnevie-zadaniya-po-russkomu-yaziku-dlya-6-klassa.html" TargetMode="External"/><Relationship Id="rId11" Type="http://schemas.openxmlformats.org/officeDocument/2006/relationships/hyperlink" Target="https://emirsaba.org/metodi-analiza-dannih.html" TargetMode="External"/><Relationship Id="rId5" Type="http://schemas.openxmlformats.org/officeDocument/2006/relationships/hyperlink" Target="https://emirsaba.org/teorema-pifagora.html" TargetMode="External"/><Relationship Id="rId10" Type="http://schemas.openxmlformats.org/officeDocument/2006/relationships/hyperlink" Target="https://emirsaba.org/obedinenie-dannih-i-illyustracij.html" TargetMode="External"/><Relationship Id="rId4" Type="http://schemas.openxmlformats.org/officeDocument/2006/relationships/hyperlink" Target="https://emirsaba.org/nestandartnie-metodi-resheniya-zadach-po-matematike.html" TargetMode="External"/><Relationship Id="rId9" Type="http://schemas.openxmlformats.org/officeDocument/2006/relationships/hyperlink" Target="https://emirsaba.org/sposobnoste-ponyatie-o-pedagogicheskoj-sposob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1</cp:revision>
  <dcterms:created xsi:type="dcterms:W3CDTF">2024-04-12T09:57:00Z</dcterms:created>
  <dcterms:modified xsi:type="dcterms:W3CDTF">2024-04-12T10:34:00Z</dcterms:modified>
</cp:coreProperties>
</file>