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9F0E" w14:textId="7BFC76D0" w:rsidR="00226858" w:rsidRPr="009557D7" w:rsidRDefault="00226858">
      <w:pPr>
        <w:spacing w:line="240" w:lineRule="auto"/>
        <w:ind w:right="-324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232E3B31" w14:textId="77777777" w:rsidR="00D279DA" w:rsidRPr="00DF1567" w:rsidRDefault="00D279DA" w:rsidP="00E00321">
      <w:pPr>
        <w:pStyle w:val="p1"/>
        <w:jc w:val="right"/>
        <w:divId w:val="392655348"/>
        <w:rPr>
          <w:rFonts w:ascii="Times New Roman" w:hAnsi="Times New Roman"/>
          <w:b/>
          <w:bCs/>
          <w:sz w:val="28"/>
          <w:szCs w:val="28"/>
        </w:rPr>
      </w:pPr>
      <w:r w:rsidRPr="00DF1567">
        <w:rPr>
          <w:rStyle w:val="s1"/>
          <w:rFonts w:ascii="Times New Roman" w:hAnsi="Times New Roman"/>
          <w:b/>
          <w:bCs/>
          <w:sz w:val="28"/>
          <w:szCs w:val="28"/>
        </w:rPr>
        <w:t>Shamuratova Shynar Shamuratovna</w:t>
      </w:r>
    </w:p>
    <w:p w14:paraId="6A026853" w14:textId="77777777" w:rsidR="00B020EB" w:rsidRPr="00DF1567" w:rsidRDefault="00B020EB">
      <w:pPr>
        <w:pStyle w:val="s3"/>
        <w:spacing w:before="0" w:beforeAutospacing="0" w:after="0" w:afterAutospacing="0"/>
        <w:jc w:val="right"/>
        <w:divId w:val="332924743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Student of 4 course of EP “Foreign language: two foreign languages”</w:t>
      </w:r>
    </w:p>
    <w:p w14:paraId="7969264B" w14:textId="77777777" w:rsidR="00B020EB" w:rsidRPr="00DF1567" w:rsidRDefault="00B020EB">
      <w:pPr>
        <w:pStyle w:val="s3"/>
        <w:spacing w:before="0" w:beforeAutospacing="0" w:after="0" w:afterAutospacing="0"/>
        <w:jc w:val="right"/>
        <w:divId w:val="332924743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Astana International University</w:t>
      </w:r>
    </w:p>
    <w:p w14:paraId="51EF0BE6" w14:textId="77777777" w:rsidR="00B020EB" w:rsidRPr="00DF1567" w:rsidRDefault="00B020EB">
      <w:pPr>
        <w:pStyle w:val="s3"/>
        <w:spacing w:before="0" w:beforeAutospacing="0" w:after="0" w:afterAutospacing="0"/>
        <w:jc w:val="right"/>
        <w:divId w:val="332924743"/>
        <w:rPr>
          <w:color w:val="000000"/>
          <w:sz w:val="28"/>
          <w:szCs w:val="28"/>
        </w:rPr>
      </w:pPr>
      <w:r w:rsidRPr="00DF1567">
        <w:rPr>
          <w:rStyle w:val="bumpedfont15"/>
          <w:color w:val="000000"/>
          <w:sz w:val="28"/>
          <w:szCs w:val="28"/>
        </w:rPr>
        <w:t>Astana, Kazakhstan</w:t>
      </w:r>
    </w:p>
    <w:p w14:paraId="5AA84BBF" w14:textId="2EF21C31" w:rsidR="00B020EB" w:rsidRPr="00DF1567" w:rsidRDefault="00B020EB">
      <w:pPr>
        <w:pStyle w:val="s3"/>
        <w:spacing w:before="0" w:beforeAutospacing="0" w:after="0" w:afterAutospacing="0"/>
        <w:jc w:val="right"/>
        <w:divId w:val="332924743"/>
        <w:rPr>
          <w:color w:val="000000"/>
          <w:sz w:val="28"/>
          <w:szCs w:val="28"/>
          <w:lang w:val="en-GB"/>
        </w:rPr>
      </w:pPr>
      <w:r w:rsidRPr="00DF1567">
        <w:rPr>
          <w:rStyle w:val="bumpedfont15"/>
          <w:color w:val="000000"/>
          <w:sz w:val="28"/>
          <w:szCs w:val="28"/>
        </w:rPr>
        <w:t xml:space="preserve">e-mail: </w:t>
      </w:r>
      <w:proofErr w:type="spellStart"/>
      <w:r w:rsidR="0015297A" w:rsidRPr="00DF1567">
        <w:rPr>
          <w:rStyle w:val="bumpedfont15"/>
          <w:color w:val="000000"/>
          <w:sz w:val="28"/>
          <w:szCs w:val="28"/>
          <w:lang w:val="en-GB"/>
        </w:rPr>
        <w:t>shamuratova.shynar</w:t>
      </w:r>
      <w:proofErr w:type="spellEnd"/>
      <w:r w:rsidRPr="00DF1567">
        <w:rPr>
          <w:rStyle w:val="bumpedfont15"/>
          <w:color w:val="000000"/>
          <w:sz w:val="28"/>
          <w:szCs w:val="28"/>
        </w:rPr>
        <w:t>@</w:t>
      </w:r>
      <w:r w:rsidR="0015297A" w:rsidRPr="00DF1567">
        <w:rPr>
          <w:rStyle w:val="bumpedfont15"/>
          <w:color w:val="000000"/>
          <w:sz w:val="28"/>
          <w:szCs w:val="28"/>
          <w:lang w:val="en-GB"/>
        </w:rPr>
        <w:t>gmail.com</w:t>
      </w:r>
    </w:p>
    <w:p w14:paraId="3FA18178" w14:textId="77777777" w:rsidR="00D279DA" w:rsidRPr="00DF1567" w:rsidRDefault="00D279DA" w:rsidP="00E00321">
      <w:pPr>
        <w:pStyle w:val="p2"/>
        <w:jc w:val="right"/>
        <w:divId w:val="392655348"/>
        <w:rPr>
          <w:rFonts w:ascii="Times New Roman" w:hAnsi="Times New Roman"/>
          <w:sz w:val="28"/>
          <w:szCs w:val="28"/>
        </w:rPr>
      </w:pPr>
    </w:p>
    <w:p w14:paraId="254163C1" w14:textId="56BFB6EA" w:rsidR="00D279DA" w:rsidRPr="00DF1567" w:rsidRDefault="00D279DA" w:rsidP="00E00321">
      <w:pPr>
        <w:pStyle w:val="p1"/>
        <w:jc w:val="right"/>
        <w:divId w:val="392655348"/>
        <w:rPr>
          <w:rFonts w:ascii="Times New Roman" w:hAnsi="Times New Roman"/>
          <w:sz w:val="28"/>
          <w:szCs w:val="28"/>
        </w:rPr>
      </w:pPr>
    </w:p>
    <w:p w14:paraId="46FB1282" w14:textId="77777777" w:rsidR="00647F3F" w:rsidRDefault="00647F3F" w:rsidP="009C6599">
      <w:pPr>
        <w:spacing w:line="240" w:lineRule="auto"/>
        <w:ind w:right="-324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 xml:space="preserve"> vs. </w:t>
      </w:r>
      <w:proofErr w:type="spellStart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>elementary</w:t>
      </w:r>
      <w:proofErr w:type="spellEnd"/>
      <w:r w:rsidRPr="00EC2A45">
        <w:rPr>
          <w:rFonts w:ascii="Times New Roman" w:eastAsia="Times New Roman" w:hAnsi="Times New Roman" w:cs="Times New Roman"/>
          <w:b/>
          <w:sz w:val="28"/>
          <w:szCs w:val="28"/>
        </w:rPr>
        <w:t xml:space="preserve"> school</w:t>
      </w:r>
    </w:p>
    <w:p w14:paraId="4F980E3E" w14:textId="77777777" w:rsidR="00D279DA" w:rsidRPr="00226858" w:rsidRDefault="00D279DA">
      <w:pPr>
        <w:spacing w:line="240" w:lineRule="auto"/>
        <w:ind w:right="-324" w:firstLine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</w:p>
    <w:p w14:paraId="7C6A06BD" w14:textId="77777777" w:rsidR="00534731" w:rsidRPr="00EC2A45" w:rsidRDefault="00534731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18CEE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child's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aptitudes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undergo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enrollment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formal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Essential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attributes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characterize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child's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framework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creativity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adaptability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consistency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83B24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Empirical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research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underscores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inclination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young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exhibit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limited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inherent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enthusiasm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Nonetheless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innate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enthusiasm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exploration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novel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insights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remains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eviden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cohort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hinges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pivotal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objectives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sustaining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enhancing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motivational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impetus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developmental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potential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younger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remains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ample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albeit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contingent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resolut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certain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issues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Foremost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among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cultivating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capacity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sustained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effort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focus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essence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framework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meticulously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fashioned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engross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perpetuate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sustained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617BCA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embarking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milieu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emphasis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proficiency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Hence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exercises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centered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around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expression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serve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cornerstones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fostering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rudimentary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upon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initial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can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predicated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[1].</w:t>
      </w:r>
    </w:p>
    <w:p w14:paraId="5CD6D88F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period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time while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crucial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pick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up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language's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fundamentals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at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learn how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utilize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it,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grow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interested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more.</w:t>
      </w:r>
    </w:p>
    <w:p w14:paraId="393EE088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elementary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games,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fun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activities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using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pictures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things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can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easy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kids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understand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38A18A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 school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advantages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brains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allows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learn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even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realizing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it.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children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long-term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memory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strong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helps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remem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ber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things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learn for a long time,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including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9A06B1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Today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we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employ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aid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improvement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Speaking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listening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writing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In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we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lot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emphasis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literature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written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different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well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lastRenderedPageBreak/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essay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story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writing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It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became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evident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middle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1950s that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operation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didn't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meet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demands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at the time.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were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developed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result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this.</w:t>
      </w:r>
    </w:p>
    <w:p w14:paraId="26FFB328" w14:textId="77777777" w:rsidR="00534731" w:rsidRPr="00EC2A45" w:rsidRDefault="00534731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88CCDD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majority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concur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other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your mother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tongue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We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typically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employ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grammar-translation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manner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aids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our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comprehension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all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associated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rules.</w:t>
      </w:r>
    </w:p>
    <w:p w14:paraId="2D281121" w14:textId="77777777" w:rsidR="00534731" w:rsidRPr="00EC2A45" w:rsidRDefault="00534731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25E678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grammar-translation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involves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language's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rules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translating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phrases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learn it. The "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ammar-translation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created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middle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20th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Thinkers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18th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century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developed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equates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proficiency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strong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wide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Going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from one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proper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speak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writing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another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improvement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process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 [2]. </w:t>
      </w:r>
    </w:p>
    <w:p w14:paraId="4A076E5F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conversational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most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technique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learn new words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get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over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barriers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It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taken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place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tedious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textbook-based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Actually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didn't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need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invented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At first,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tribes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area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talking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expressing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themselves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body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you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opportunity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someone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wh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speaks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fluently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simpler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quicker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No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matter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how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or how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few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words you know, it's a good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idea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work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groups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or with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partner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studying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[2].</w:t>
      </w:r>
    </w:p>
    <w:p w14:paraId="1A221831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known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analytical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que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is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translating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literature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considers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word's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meaning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separately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Learning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terminology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required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memorization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original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literature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It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translated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literally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word by word from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original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text.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not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given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weight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informally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means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discussing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text.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goal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lexical-translation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become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better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readers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translators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while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simultaneously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advancing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overall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06D5EF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wake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scientific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progress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coupled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increasing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digitization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society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at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initial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phases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supplanted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inventive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nascent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now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witness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adoption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novel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techniques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expedite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assimilation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foreign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emerging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array of tools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encompassin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games,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computer-mediated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interactive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A0C44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specialness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game world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good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impact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remembering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repeating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new words. It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makes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game more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exciting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helps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child's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 The game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helps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you learn new words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meanings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a different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material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goes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type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makes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lastRenderedPageBreak/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more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interesting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Game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situations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help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us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remember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words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without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even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trying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[2].</w:t>
      </w:r>
    </w:p>
    <w:p w14:paraId="61C54965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Diverse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manifestations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games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offer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versatile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avenues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rendering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adaptable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tools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enrichment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across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various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Initially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integration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ludic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activities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efficacious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facilitating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mnemonic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assimil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lexemes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As games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unfold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engender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construction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authentic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dialogues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amongst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participants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thereby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fostering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bridge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simulate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real-life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encounters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salient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feature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renders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games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particularly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instrumental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instruments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culminating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stages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where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lexicons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pragmatic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conversational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scenarios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paramount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D8679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English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classroom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milieu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 array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multimedia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pres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entations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videos,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cartoons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audio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recordings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stands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poised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augment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repertoire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Importantly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an array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objectives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introduction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novel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reinforcement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preexisting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lex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emes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consolidation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comprehension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instance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didactic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presentations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impart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new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visually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depictions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juxtaposed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slideshow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format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heighten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retention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Audio and video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recordings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serve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contextualize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activate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newly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while English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cartoons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serve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efficacious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instruments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bolster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retention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particularly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within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settings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entails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exhibition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succinct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language-laden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cartoons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often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coinciding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familiarity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cultivated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exposure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 [2].</w:t>
      </w:r>
    </w:p>
    <w:p w14:paraId="7E3CC78A" w14:textId="77777777" w:rsidR="00534731" w:rsidRPr="00EC2A45" w:rsidRDefault="00534731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FF56F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Table 1-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Comparison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525"/>
        <w:gridCol w:w="3465"/>
      </w:tblGrid>
      <w:tr w:rsidR="00534731" w:rsidRPr="00EC2A45" w14:paraId="350A52B0" w14:textId="77777777">
        <w:trPr>
          <w:trHeight w:val="660"/>
        </w:trPr>
        <w:tc>
          <w:tcPr>
            <w:tcW w:w="2355" w:type="dxa"/>
            <w:tcBorders>
              <w:top w:val="single" w:sz="5" w:space="0" w:color="D9D9E3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B0B6" w14:textId="77777777" w:rsidR="00534731" w:rsidRPr="00EC2A45" w:rsidRDefault="009557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Aspect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single" w:sz="5" w:space="0" w:color="D9D9E3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2D07" w14:textId="77777777" w:rsidR="00534731" w:rsidRPr="00EC2A45" w:rsidRDefault="009557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Traditional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Approach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5" w:type="dxa"/>
            <w:tcBorders>
              <w:top w:val="single" w:sz="5" w:space="0" w:color="D9D9E3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34993" w14:textId="77777777" w:rsidR="00534731" w:rsidRPr="00EC2A45" w:rsidRDefault="009557D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Modern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Approach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731" w:rsidRPr="00EC2A45" w14:paraId="11B92603" w14:textId="77777777">
        <w:trPr>
          <w:trHeight w:val="1305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EBF2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Pedagogical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Paradigm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A417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Often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characterized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by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rote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memorization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grammar-focused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instruction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DE5E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Embraces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communicative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learner-centered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methodologies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46B1182F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EDD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Learning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Material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77BFC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Primarily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textbooks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rules,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controlled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exercises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C658F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Incorporates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multimedia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authentic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materials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real-world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content. </w:t>
            </w:r>
          </w:p>
        </w:tc>
      </w:tr>
      <w:tr w:rsidR="00534731" w:rsidRPr="00EC2A45" w14:paraId="52693138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98DF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Interaction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55AB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Teacher-centered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with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limited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student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interaction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52C81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Student-centered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fostering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collaboration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discussion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engagement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0987C8C2" w14:textId="77777777">
        <w:trPr>
          <w:trHeight w:val="1305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21D0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Assessment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7F4B1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Tests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quizzes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often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measure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knowledge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vocabulary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F2C1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Diverse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assessment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methods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including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performance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tasks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projects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6A5C9809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6A82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Technology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Integration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C144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Minimal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use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primarily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relying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printed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materials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FE7B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Integrates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technology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online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resources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learning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apps. </w:t>
            </w:r>
          </w:p>
        </w:tc>
      </w:tr>
      <w:tr w:rsidR="00534731" w:rsidRPr="00EC2A45" w14:paraId="20C76BF6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18BEC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Language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Skills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EA3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Focus on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with less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emphasis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7DF9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Holistic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approach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balancing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reading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writing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listening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speaking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472D7706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5802E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Vocabulary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Acquisition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26F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Limited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exposure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authentic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use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contextual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vocabulary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01A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Explores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vocabulary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through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real-life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situations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multimedia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62BF435C" w14:textId="77777777">
        <w:trPr>
          <w:trHeight w:val="990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EC7C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Cultural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Awareness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C1994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Often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lacks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cultural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integration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leading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limited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global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perspective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E1604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Promotes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cultural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awareness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through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authentic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materials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media. </w:t>
            </w:r>
          </w:p>
        </w:tc>
      </w:tr>
      <w:tr w:rsidR="00534731" w:rsidRPr="00EC2A45" w14:paraId="3CF144BC" w14:textId="77777777">
        <w:trPr>
          <w:trHeight w:val="1305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80B31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</w:t>
            </w:r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tivation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250C9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'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motivation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wane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due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monotonous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methods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lack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of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relevance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FDC5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Engages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students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through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interactive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relevant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and dynamic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activities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34731" w:rsidRPr="00EC2A45" w14:paraId="31A90A86" w14:textId="77777777">
        <w:trPr>
          <w:trHeight w:val="1305"/>
        </w:trPr>
        <w:tc>
          <w:tcPr>
            <w:tcW w:w="235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6B5CB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Outcome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25" w:type="dxa"/>
            <w:tcBorders>
              <w:top w:val="nil"/>
              <w:left w:val="single" w:sz="5" w:space="0" w:color="D9D9E3"/>
              <w:bottom w:val="single" w:sz="5" w:space="0" w:color="D9D9E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8E9E3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Proficiency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may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be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limited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with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strong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focus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grammar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but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weaker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skills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65" w:type="dxa"/>
            <w:tcBorders>
              <w:top w:val="nil"/>
              <w:left w:val="single" w:sz="5" w:space="0" w:color="D9D9E3"/>
              <w:bottom w:val="single" w:sz="5" w:space="0" w:color="D9D9E3"/>
              <w:right w:val="single" w:sz="5" w:space="0" w:color="D9D9E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8BB1" w14:textId="77777777" w:rsidR="00534731" w:rsidRPr="00EC2A45" w:rsidRDefault="009557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Develops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well-rounded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language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proficiency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and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effective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>communication</w:t>
            </w:r>
            <w:proofErr w:type="spellEnd"/>
            <w:r w:rsidRPr="00EC2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3D058EDF" w14:textId="77777777" w:rsidR="00534731" w:rsidRPr="00EC2A45" w:rsidRDefault="00534731">
      <w:p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46D2D6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Contemporary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paradigms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enhanced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through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integration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plethora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tools,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including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computers, PowerPoint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presentations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, o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nline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multimedia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materials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printing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technologically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imbued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landscape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catalyzes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heightened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student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conferring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novelty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experiences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efficiently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promoting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retention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131CB4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outcomes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from my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enlightening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internship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at Astana's 35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Torekulov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which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worked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at from January 23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March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1.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During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this time,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grade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rare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opportunity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observe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harmonic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integration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both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contemporary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111BC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English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 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graders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time-honored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practices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grounded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rules,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drills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structured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exercises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imparts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grammatical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accuracy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bolstering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syntactic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structures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nuances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didactic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deployment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textbooks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grammar-focused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exercises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stimulates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systematic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consolidating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core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competencies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524C29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Conversely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harness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contemporary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resources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engender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immersive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interactive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experiences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Integrating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multimedia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elements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such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interactive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apps,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audiovisual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content,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authentic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materi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als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infuses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real-world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lessons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enhancing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contextual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understanding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conversational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skills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tools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capitalize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on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'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familiarity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technology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fostering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cultivating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dynamic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environment  [3]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40AC44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are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number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should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taken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account while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choosing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best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English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graders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strategies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improve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competence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while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support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grammatical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precision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best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therefore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is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blend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concepts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Combining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training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contemporary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like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multimedia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materials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consistent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cognitive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theories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that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emphasize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value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application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well-rounded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strategy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fosters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proficiency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adept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use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potent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abilities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1D91B5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realm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witnessing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ascendancy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the case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predicated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meticulous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scrutiny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specific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scenarios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This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interac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engenders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critical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thinking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necessitating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dissect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real-world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situations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devoid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clear-cut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solutions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As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learners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navigate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enigmatic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contexts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not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only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bolster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analytical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faculties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but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also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cultivate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intrinsic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orientation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towards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autonomous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problem-solving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6BA0E7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conclusion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English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primary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school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necessitates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symbiotic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relationship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between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By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amalgamating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ammar-focused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foundations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conventional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the dynamic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engagement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contemporary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tools,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educators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foster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comprehensive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adaptive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skill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set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well-calibrated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blend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emerges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pinnacle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pedagogical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effectiveness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equipping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with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capacity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nuanced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comprehension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effective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cultural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fluency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0870B8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Incorporating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innovative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methodologies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into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pedagogy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paves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way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for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multifaceted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acquisition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ognitive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growth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.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potency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approaches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extends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beyond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vocabulary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enrichment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encompass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heightened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linguistic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autonomy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improved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oral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expression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and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augmented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creative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cognition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heralding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transformation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in the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paradigms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language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instructi</w:t>
      </w:r>
      <w:r w:rsidRPr="00EC2A45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92286" w14:textId="77777777" w:rsidR="00534731" w:rsidRPr="00EC2A45" w:rsidRDefault="00534731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0E6D28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C7E88BF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7D50F2E8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2583A139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45CCD39C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DDEE196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4A811022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454BD9E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51FB4B5C" w14:textId="77777777" w:rsidR="00534731" w:rsidRPr="00EC2A45" w:rsidRDefault="009557D7">
      <w:pPr>
        <w:spacing w:line="240" w:lineRule="auto"/>
        <w:ind w:right="-32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sz w:val="28"/>
          <w:szCs w:val="28"/>
        </w:rPr>
        <w:t>References</w:t>
      </w:r>
      <w:proofErr w:type="spellEnd"/>
      <w:r w:rsidRPr="00EC2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086F704" w14:textId="77777777" w:rsidR="00534731" w:rsidRPr="00EC2A45" w:rsidRDefault="009557D7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Boumová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V. (2008).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vs.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: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Advantages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disadvantages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each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(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Doctoral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dissertation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Masarykova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univerzita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Filozofická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fakulta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).</w:t>
      </w:r>
    </w:p>
    <w:p w14:paraId="44BF3230" w14:textId="77777777" w:rsidR="00534731" w:rsidRPr="00EC2A45" w:rsidRDefault="009557D7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lastRenderedPageBreak/>
        <w:t>Ullah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O., &amp; Iqbal, M. (2020).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Comparison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impact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traditional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modern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on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students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'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performance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at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elementary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school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level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. </w:t>
      </w:r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Global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Regional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Review</w:t>
      </w:r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1</w:t>
      </w:r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, 386-395.</w:t>
      </w:r>
    </w:p>
    <w:p w14:paraId="75F53E31" w14:textId="77777777" w:rsidR="00534731" w:rsidRPr="00EC2A45" w:rsidRDefault="009557D7">
      <w:pPr>
        <w:numPr>
          <w:ilvl w:val="0"/>
          <w:numId w:val="1"/>
        </w:numPr>
        <w:spacing w:line="240" w:lineRule="auto"/>
        <w:ind w:right="-32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</w:pP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Kurti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E. (2016).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Methods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of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Teaching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and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their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Impact</w:t>
      </w:r>
      <w:proofErr w:type="spellEnd"/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 on Learn. </w:t>
      </w:r>
      <w:proofErr w:type="spellStart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Mediterranean</w:t>
      </w:r>
      <w:proofErr w:type="spellEnd"/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 xml:space="preserve"> Journal of Social Sciences</w:t>
      </w:r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 xml:space="preserve">, </w:t>
      </w:r>
      <w:r w:rsidRPr="00EC2A45">
        <w:rPr>
          <w:rFonts w:ascii="Times New Roman" w:eastAsia="Times New Roman" w:hAnsi="Times New Roman" w:cs="Times New Roman"/>
          <w:i/>
          <w:color w:val="222222"/>
          <w:sz w:val="28"/>
          <w:szCs w:val="28"/>
          <w:highlight w:val="white"/>
        </w:rPr>
        <w:t>7</w:t>
      </w:r>
      <w:r w:rsidRPr="00EC2A45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</w:rPr>
        <w:t>(1), 489.</w:t>
      </w:r>
    </w:p>
    <w:p w14:paraId="5C5FC713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616505AF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7B97E5FC" w14:textId="77777777" w:rsidR="00534731" w:rsidRPr="00EC2A45" w:rsidRDefault="00534731">
      <w:pPr>
        <w:spacing w:line="240" w:lineRule="auto"/>
        <w:ind w:right="-324" w:firstLine="566"/>
        <w:rPr>
          <w:rFonts w:ascii="Times New Roman" w:eastAsia="Times New Roman" w:hAnsi="Times New Roman" w:cs="Times New Roman"/>
          <w:sz w:val="28"/>
          <w:szCs w:val="28"/>
        </w:rPr>
      </w:pPr>
    </w:p>
    <w:p w14:paraId="0D5EE578" w14:textId="77777777" w:rsidR="00534731" w:rsidRPr="00EC2A45" w:rsidRDefault="00534731">
      <w:pPr>
        <w:rPr>
          <w:rFonts w:ascii="Times New Roman" w:hAnsi="Times New Roman"/>
        </w:rPr>
      </w:pPr>
    </w:p>
    <w:sectPr w:rsidR="00534731" w:rsidRPr="00EC2A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01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9102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31"/>
    <w:rsid w:val="000F545F"/>
    <w:rsid w:val="0015297A"/>
    <w:rsid w:val="00226858"/>
    <w:rsid w:val="0033650F"/>
    <w:rsid w:val="00534731"/>
    <w:rsid w:val="00647F3F"/>
    <w:rsid w:val="007F5833"/>
    <w:rsid w:val="009557D7"/>
    <w:rsid w:val="0098698B"/>
    <w:rsid w:val="00B020EB"/>
    <w:rsid w:val="00D279DA"/>
    <w:rsid w:val="00DF1567"/>
    <w:rsid w:val="00E00321"/>
    <w:rsid w:val="00EC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9A7F114"/>
  <w15:docId w15:val="{56E1C936-32DB-8A47-AC59-4F937837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1">
    <w:name w:val="p1"/>
    <w:basedOn w:val="a"/>
    <w:rsid w:val="00D279DA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ru-US"/>
    </w:rPr>
  </w:style>
  <w:style w:type="paragraph" w:customStyle="1" w:styleId="p2">
    <w:name w:val="p2"/>
    <w:basedOn w:val="a"/>
    <w:rsid w:val="00D279DA"/>
    <w:pPr>
      <w:spacing w:line="240" w:lineRule="auto"/>
    </w:pPr>
    <w:rPr>
      <w:rFonts w:ascii=".AppleSystemUIFont" w:eastAsiaTheme="minorEastAsia" w:hAnsi=".AppleSystemUIFont" w:cs="Times New Roman"/>
      <w:sz w:val="26"/>
      <w:szCs w:val="26"/>
      <w:lang w:val="ru-US"/>
    </w:rPr>
  </w:style>
  <w:style w:type="character" w:customStyle="1" w:styleId="s1">
    <w:name w:val="s1"/>
    <w:basedOn w:val="a0"/>
    <w:rsid w:val="00D279DA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s3">
    <w:name w:val="s3"/>
    <w:basedOn w:val="a"/>
    <w:rsid w:val="00B020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US"/>
    </w:rPr>
  </w:style>
  <w:style w:type="character" w:customStyle="1" w:styleId="bumpedfont15">
    <w:name w:val="bumpedfont15"/>
    <w:basedOn w:val="a0"/>
    <w:rsid w:val="00B0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6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2003</Words>
  <Characters>11420</Characters>
  <Application>Microsoft Office Word</Application>
  <DocSecurity>0</DocSecurity>
  <Lines>95</Lines>
  <Paragraphs>26</Paragraphs>
  <ScaleCrop>false</ScaleCrop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shynar shamuratova</cp:lastModifiedBy>
  <cp:revision>2</cp:revision>
  <dcterms:created xsi:type="dcterms:W3CDTF">2023-08-29T21:43:00Z</dcterms:created>
  <dcterms:modified xsi:type="dcterms:W3CDTF">2023-08-29T21:43:00Z</dcterms:modified>
</cp:coreProperties>
</file>