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BC813" w14:textId="77777777" w:rsid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1A48E972" w14:textId="77777777" w:rsidR="00D43E28" w:rsidRDefault="00D43E28" w:rsidP="00D43E2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43E28">
        <w:rPr>
          <w:rStyle w:val="ac"/>
          <w:rFonts w:ascii="Times New Roman" w:hAnsi="Times New Roman" w:cs="Times New Roman"/>
          <w:sz w:val="28"/>
          <w:szCs w:val="28"/>
        </w:rPr>
        <w:t>УДК 351.74:159.944.4</w:t>
      </w:r>
      <w:r w:rsidRPr="00D43E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7F4D5D" w14:textId="77777777" w:rsidR="00D43E28" w:rsidRPr="00D43E28" w:rsidRDefault="00D43E28" w:rsidP="00D43E28">
      <w:pPr>
        <w:spacing w:after="0" w:line="240" w:lineRule="auto"/>
        <w:ind w:left="142" w:firstLine="567"/>
        <w:rPr>
          <w:rFonts w:ascii="Times New Roman" w:hAnsi="Times New Roman" w:cs="Times New Roman"/>
          <w:sz w:val="28"/>
          <w:szCs w:val="28"/>
        </w:rPr>
      </w:pPr>
    </w:p>
    <w:p w14:paraId="50A588C3" w14:textId="5CE00C68" w:rsidR="00087AFB" w:rsidRPr="00087AFB" w:rsidRDefault="00087AFB" w:rsidP="00320815">
      <w:pPr>
        <w:spacing w:after="0" w:line="240" w:lineRule="auto"/>
        <w:ind w:firstLine="567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  <w:r>
        <w:rPr>
          <w:rFonts w:ascii="Times New Roman" w:eastAsia="Aptos" w:hAnsi="Times New Roman" w:cs="Times New Roman"/>
          <w:b/>
          <w:bCs/>
          <w:sz w:val="28"/>
          <w:szCs w:val="28"/>
        </w:rPr>
        <w:t>П</w:t>
      </w:r>
      <w:r w:rsidRPr="00087AFB">
        <w:rPr>
          <w:rFonts w:ascii="Times New Roman" w:eastAsia="Aptos" w:hAnsi="Times New Roman" w:cs="Times New Roman"/>
          <w:b/>
          <w:bCs/>
          <w:sz w:val="28"/>
          <w:szCs w:val="28"/>
        </w:rPr>
        <w:t>овышени</w:t>
      </w:r>
      <w:r>
        <w:rPr>
          <w:rFonts w:ascii="Times New Roman" w:eastAsia="Aptos" w:hAnsi="Times New Roman" w:cs="Times New Roman"/>
          <w:b/>
          <w:bCs/>
          <w:sz w:val="28"/>
          <w:szCs w:val="28"/>
        </w:rPr>
        <w:t>е</w:t>
      </w:r>
      <w:r w:rsidRPr="00087AFB">
        <w:rPr>
          <w:rFonts w:ascii="Times New Roman" w:eastAsia="Aptos" w:hAnsi="Times New Roman" w:cs="Times New Roman"/>
          <w:b/>
          <w:bCs/>
          <w:sz w:val="28"/>
          <w:szCs w:val="28"/>
        </w:rPr>
        <w:t xml:space="preserve"> психологической устойчивости и профессиональной готовности специалистов к службе в условиях выполнения общественно-значимых задач</w:t>
      </w:r>
    </w:p>
    <w:p w14:paraId="4769068B" w14:textId="2E2A525D" w:rsidR="00320815" w:rsidRDefault="00320815" w:rsidP="00F14391">
      <w:pPr>
        <w:spacing w:after="0" w:line="240" w:lineRule="auto"/>
        <w:ind w:firstLine="567"/>
        <w:jc w:val="right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320815">
        <w:rPr>
          <w:rFonts w:ascii="Times New Roman" w:eastAsia="Aptos" w:hAnsi="Times New Roman" w:cs="Times New Roman"/>
          <w:i/>
          <w:iCs/>
          <w:sz w:val="28"/>
          <w:szCs w:val="28"/>
        </w:rPr>
        <w:t xml:space="preserve">  БилденоваД.Р.</w:t>
      </w:r>
      <w:r>
        <w:rPr>
          <w:rFonts w:ascii="Times New Roman" w:eastAsia="Aptos" w:hAnsi="Times New Roman" w:cs="Times New Roman"/>
          <w:i/>
          <w:iCs/>
          <w:sz w:val="28"/>
          <w:szCs w:val="28"/>
        </w:rPr>
        <w:t>, магистрант</w:t>
      </w:r>
      <w:r w:rsidR="00F14391">
        <w:rPr>
          <w:rFonts w:ascii="Times New Roman" w:eastAsia="Aptos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Aptos" w:hAnsi="Times New Roman" w:cs="Times New Roman"/>
          <w:i/>
          <w:iCs/>
          <w:sz w:val="28"/>
          <w:szCs w:val="28"/>
        </w:rPr>
        <w:t xml:space="preserve"> ОП «Педагогика и психология»,</w:t>
      </w:r>
    </w:p>
    <w:p w14:paraId="5421C3CA" w14:textId="15050624" w:rsidR="00087AFB" w:rsidRDefault="00320815" w:rsidP="00F14391">
      <w:pPr>
        <w:spacing w:after="0" w:line="240" w:lineRule="auto"/>
        <w:ind w:firstLine="567"/>
        <w:jc w:val="right"/>
        <w:rPr>
          <w:rFonts w:ascii="Times New Roman" w:eastAsia="Aptos" w:hAnsi="Times New Roman" w:cs="Times New Roman"/>
          <w:i/>
          <w:iCs/>
          <w:sz w:val="28"/>
          <w:szCs w:val="28"/>
        </w:rPr>
      </w:pPr>
      <w:r>
        <w:rPr>
          <w:rFonts w:ascii="Times New Roman" w:eastAsia="Aptos" w:hAnsi="Times New Roman" w:cs="Times New Roman"/>
          <w:i/>
          <w:iCs/>
          <w:sz w:val="28"/>
          <w:szCs w:val="28"/>
        </w:rPr>
        <w:t xml:space="preserve"> Кокшетауский университет </w:t>
      </w:r>
      <w:r w:rsidR="00F14391">
        <w:rPr>
          <w:rFonts w:ascii="Times New Roman" w:eastAsia="Aptos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Aptos" w:hAnsi="Times New Roman" w:cs="Times New Roman"/>
          <w:i/>
          <w:iCs/>
          <w:sz w:val="28"/>
          <w:szCs w:val="28"/>
        </w:rPr>
        <w:t>им. А. Мырзахметова,</w:t>
      </w:r>
    </w:p>
    <w:p w14:paraId="18887138" w14:textId="04293E26" w:rsidR="00320815" w:rsidRPr="00320815" w:rsidRDefault="00320815" w:rsidP="00F14391">
      <w:pPr>
        <w:spacing w:after="0" w:line="240" w:lineRule="auto"/>
        <w:ind w:firstLine="567"/>
        <w:jc w:val="right"/>
        <w:rPr>
          <w:rFonts w:ascii="Times New Roman" w:eastAsia="Aptos" w:hAnsi="Times New Roman" w:cs="Times New Roman"/>
          <w:i/>
          <w:iCs/>
          <w:sz w:val="28"/>
          <w:szCs w:val="28"/>
        </w:rPr>
      </w:pPr>
      <w:r>
        <w:rPr>
          <w:rFonts w:ascii="Times New Roman" w:eastAsia="Aptos" w:hAnsi="Times New Roman" w:cs="Times New Roman"/>
          <w:i/>
          <w:iCs/>
          <w:sz w:val="28"/>
          <w:szCs w:val="28"/>
        </w:rPr>
        <w:t>Республика Казахстан,</w:t>
      </w:r>
      <w:r w:rsidR="00F14391">
        <w:rPr>
          <w:rFonts w:ascii="Times New Roman" w:eastAsia="Aptos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Aptos" w:hAnsi="Times New Roman" w:cs="Times New Roman"/>
          <w:i/>
          <w:iCs/>
          <w:sz w:val="28"/>
          <w:szCs w:val="28"/>
        </w:rPr>
        <w:t xml:space="preserve"> г. Кокшетау, </w:t>
      </w:r>
      <w:r w:rsidR="00F14391">
        <w:rPr>
          <w:rFonts w:ascii="Times New Roman" w:eastAsia="Aptos" w:hAnsi="Times New Roman" w:cs="Times New Roman"/>
          <w:i/>
          <w:iCs/>
          <w:sz w:val="28"/>
          <w:szCs w:val="28"/>
        </w:rPr>
        <w:t xml:space="preserve"> </w:t>
      </w:r>
      <w:r w:rsidRPr="00320815">
        <w:rPr>
          <w:rFonts w:ascii="Times New Roman" w:eastAsia="Aptos" w:hAnsi="Times New Roman" w:cs="Times New Roman"/>
          <w:i/>
          <w:iCs/>
          <w:sz w:val="28"/>
          <w:szCs w:val="28"/>
        </w:rPr>
        <w:t>darinaaa1999@ mail.ru</w:t>
      </w:r>
    </w:p>
    <w:p w14:paraId="6DC1DF79" w14:textId="77777777" w:rsidR="00087AFB" w:rsidRPr="00087AFB" w:rsidRDefault="00087AFB" w:rsidP="00320815">
      <w:pPr>
        <w:spacing w:after="0" w:line="240" w:lineRule="auto"/>
        <w:ind w:firstLine="567"/>
        <w:jc w:val="right"/>
        <w:rPr>
          <w:rFonts w:ascii="Times New Roman" w:eastAsia="Aptos" w:hAnsi="Times New Roman" w:cs="Times New Roman"/>
          <w:sz w:val="28"/>
          <w:szCs w:val="28"/>
        </w:rPr>
      </w:pPr>
    </w:p>
    <w:p w14:paraId="5C66460D" w14:textId="6C6EB955" w:rsidR="00E5679B" w:rsidRPr="00E5679B" w:rsidRDefault="00E5679B" w:rsidP="00E5679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E5679B">
        <w:rPr>
          <w:rFonts w:ascii="Times New Roman" w:eastAsia="Aptos" w:hAnsi="Times New Roman" w:cs="Times New Roman"/>
          <w:sz w:val="28"/>
          <w:szCs w:val="28"/>
        </w:rPr>
        <w:t>В условиях стремительно меняющейся оперативной обстановки деятельность правоохранительных структур приобретает всё более напряжённый и многофакторный характер. Усиление социальных рисков, нестабильность внешней среды, рост количества чрезвычайных и конфликтных ситуаций требуют от сотрудников не только высокого уровня профессиональной подготовки, но и развитой психологической устойчивости, способности к самоконтролю и эффективному функционированию в условиях постоянного эмоционального напряжения.</w:t>
      </w:r>
    </w:p>
    <w:p w14:paraId="424190CC" w14:textId="77777777" w:rsidR="00E5679B" w:rsidRDefault="00E5679B" w:rsidP="00E5679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E5679B">
        <w:rPr>
          <w:rFonts w:ascii="Times New Roman" w:eastAsia="Aptos" w:hAnsi="Times New Roman" w:cs="Times New Roman"/>
          <w:sz w:val="28"/>
          <w:szCs w:val="28"/>
        </w:rPr>
        <w:t xml:space="preserve">Наиболее ярко данная проблема проявляется в работе сотрудников специальных подразделений, в частности СОБР, профессиональная деятельность которых непосредственно связана с выполнением задач повышенной сложности и опасности. </w:t>
      </w:r>
    </w:p>
    <w:p w14:paraId="2B47209F" w14:textId="62BB3087" w:rsidR="00E5679B" w:rsidRDefault="00E5679B" w:rsidP="00E5679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E5679B">
        <w:rPr>
          <w:rFonts w:ascii="Times New Roman" w:eastAsia="Aptos" w:hAnsi="Times New Roman" w:cs="Times New Roman"/>
          <w:sz w:val="28"/>
          <w:szCs w:val="28"/>
        </w:rPr>
        <w:t>Экстремальный характер служебных операций, необходимость мгновенного реагирования, принятия ответственных решений в условиях дефицита времени, а также регулярное воздействие стрессогенных факторов формируют повышенные требования к личностным качествам бойцов, их эмоционально-волевой сфере и уровню профессионально-психологической готовности.</w:t>
      </w:r>
    </w:p>
    <w:p w14:paraId="68AC05D8" w14:textId="6EC8E005" w:rsidR="00087AFB" w:rsidRPr="00087AFB" w:rsidRDefault="00087AFB" w:rsidP="00E5679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В этих условиях ключевое значение приобретает психологическая устойчивость как интегративное качество личности, обеспечивающее сохранение эффективности деятельности в ситуациях напряжения, а также профессиональная готовность, отражающая уровень сформированности знаний, умений, навыков и личностных качеств, необходимых для успешного выполнения служебных задач. Недостаточный уровень развития данных характеристик может привести к снижению результативности деятельности, профессиональным ошибкам и психологическим перегрузкам.</w:t>
      </w:r>
    </w:p>
    <w:p w14:paraId="5CFA4A87" w14:textId="2CE05764" w:rsidR="00087AFB" w:rsidRDefault="00087AFB" w:rsidP="0032081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Таким образом, исследование вопросов повышения психологической устойчивости и профессиональной готовности специалистов к службе в условиях выполнения общественно-значимых задач приобретает важное теоретическое и практическое значение, определяя необходимость поиска эффективных технологий и методов подготовки сотрудников специальных подразделений, в том числе СОБР, способных обеспечить высокий уровень их профессиональной надёжности и безопасности деятельности</w:t>
      </w:r>
      <w:r w:rsidR="00AE4EF9">
        <w:rPr>
          <w:rFonts w:ascii="Times New Roman" w:eastAsia="Aptos" w:hAnsi="Times New Roman" w:cs="Times New Roman"/>
          <w:sz w:val="28"/>
          <w:szCs w:val="28"/>
        </w:rPr>
        <w:t>.</w:t>
      </w:r>
    </w:p>
    <w:p w14:paraId="061D5F76" w14:textId="194A9046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>Поскольку д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еятельность сотрудников специальных подразделений, в частности СОБР, связана с выполнением задач повышенной опасности, </w:t>
      </w:r>
      <w:r>
        <w:rPr>
          <w:rFonts w:ascii="Times New Roman" w:eastAsia="Aptos" w:hAnsi="Times New Roman" w:cs="Times New Roman"/>
          <w:sz w:val="28"/>
          <w:szCs w:val="28"/>
        </w:rPr>
        <w:t xml:space="preserve"> постольку от них </w:t>
      </w:r>
      <w:r w:rsidRPr="00A956C5">
        <w:rPr>
          <w:rFonts w:ascii="Times New Roman" w:eastAsia="Aptos" w:hAnsi="Times New Roman" w:cs="Times New Roman"/>
          <w:sz w:val="28"/>
          <w:szCs w:val="28"/>
        </w:rPr>
        <w:t>требу</w:t>
      </w:r>
      <w:r>
        <w:rPr>
          <w:rFonts w:ascii="Times New Roman" w:eastAsia="Aptos" w:hAnsi="Times New Roman" w:cs="Times New Roman"/>
          <w:sz w:val="28"/>
          <w:szCs w:val="28"/>
        </w:rPr>
        <w:t>ется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высок</w:t>
      </w:r>
      <w:r>
        <w:rPr>
          <w:rFonts w:ascii="Times New Roman" w:eastAsia="Aptos" w:hAnsi="Times New Roman" w:cs="Times New Roman"/>
          <w:sz w:val="28"/>
          <w:szCs w:val="28"/>
        </w:rPr>
        <w:t>ая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концентраци</w:t>
      </w:r>
      <w:r>
        <w:rPr>
          <w:rFonts w:ascii="Times New Roman" w:eastAsia="Aptos" w:hAnsi="Times New Roman" w:cs="Times New Roman"/>
          <w:sz w:val="28"/>
          <w:szCs w:val="28"/>
        </w:rPr>
        <w:t>я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внимания, эмоциональн</w:t>
      </w:r>
      <w:r>
        <w:rPr>
          <w:rFonts w:ascii="Times New Roman" w:eastAsia="Aptos" w:hAnsi="Times New Roman" w:cs="Times New Roman"/>
          <w:sz w:val="28"/>
          <w:szCs w:val="28"/>
        </w:rPr>
        <w:t>ая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Pr="00A956C5">
        <w:rPr>
          <w:rFonts w:ascii="Times New Roman" w:eastAsia="Aptos" w:hAnsi="Times New Roman" w:cs="Times New Roman"/>
          <w:sz w:val="28"/>
          <w:szCs w:val="28"/>
        </w:rPr>
        <w:lastRenderedPageBreak/>
        <w:t>устойчивост</w:t>
      </w:r>
      <w:r>
        <w:rPr>
          <w:rFonts w:ascii="Times New Roman" w:eastAsia="Aptos" w:hAnsi="Times New Roman" w:cs="Times New Roman"/>
          <w:sz w:val="28"/>
          <w:szCs w:val="28"/>
        </w:rPr>
        <w:t>ь</w:t>
      </w:r>
      <w:r w:rsidRPr="00A956C5">
        <w:rPr>
          <w:rFonts w:ascii="Times New Roman" w:eastAsia="Aptos" w:hAnsi="Times New Roman" w:cs="Times New Roman"/>
          <w:sz w:val="28"/>
          <w:szCs w:val="28"/>
        </w:rPr>
        <w:t>, развиты</w:t>
      </w:r>
      <w:r>
        <w:rPr>
          <w:rFonts w:ascii="Times New Roman" w:eastAsia="Aptos" w:hAnsi="Times New Roman" w:cs="Times New Roman"/>
          <w:sz w:val="28"/>
          <w:szCs w:val="28"/>
        </w:rPr>
        <w:t>е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волевы</w:t>
      </w:r>
      <w:r>
        <w:rPr>
          <w:rFonts w:ascii="Times New Roman" w:eastAsia="Aptos" w:hAnsi="Times New Roman" w:cs="Times New Roman"/>
          <w:sz w:val="28"/>
          <w:szCs w:val="28"/>
        </w:rPr>
        <w:t>е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качеств</w:t>
      </w:r>
      <w:r>
        <w:rPr>
          <w:rFonts w:ascii="Times New Roman" w:eastAsia="Aptos" w:hAnsi="Times New Roman" w:cs="Times New Roman"/>
          <w:sz w:val="28"/>
          <w:szCs w:val="28"/>
        </w:rPr>
        <w:t>а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и способност</w:t>
      </w:r>
      <w:r>
        <w:rPr>
          <w:rFonts w:ascii="Times New Roman" w:eastAsia="Aptos" w:hAnsi="Times New Roman" w:cs="Times New Roman"/>
          <w:sz w:val="28"/>
          <w:szCs w:val="28"/>
        </w:rPr>
        <w:t>ь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к мгновенному принятию решений в условиях неопределённости.</w:t>
      </w:r>
    </w:p>
    <w:p w14:paraId="2FE3F5AE" w14:textId="3D1E045E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>С теоретических позиций проблема устойчивости личности раскрывается в рамках деятельностного подхода. Так, С. Л. Рубинштейн подчёркивал: «психика формируется и проявляется в деятельности» [</w:t>
      </w:r>
      <w:r>
        <w:rPr>
          <w:rFonts w:ascii="Times New Roman" w:eastAsia="Aptos" w:hAnsi="Times New Roman" w:cs="Times New Roman"/>
          <w:sz w:val="28"/>
          <w:szCs w:val="28"/>
        </w:rPr>
        <w:t>1</w:t>
      </w:r>
      <w:r w:rsidRPr="00A956C5">
        <w:rPr>
          <w:rFonts w:ascii="Times New Roman" w:eastAsia="Aptos" w:hAnsi="Times New Roman" w:cs="Times New Roman"/>
          <w:sz w:val="28"/>
          <w:szCs w:val="28"/>
        </w:rPr>
        <w:t>, с. 58], что позволяет рассматривать психологическую устойчивость сотрудников СОБР как результат включённости в специфическую профессиональную деятельность, насыщенную стрессогенными факторами. В условиях боевых и специальных операций устойчивость выступает как способность сохранять эффективность действий при воздействии экстремальных нагрузок.</w:t>
      </w:r>
    </w:p>
    <w:p w14:paraId="5754D672" w14:textId="5505C76D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>А. Н. Леонтьев связывал эффективность деятельности с системой мотивов и личностных смыслов: «смысл есть отношение мотива к цели» [</w:t>
      </w:r>
      <w:r w:rsidR="00E5679B">
        <w:rPr>
          <w:rFonts w:ascii="Times New Roman" w:eastAsia="Aptos" w:hAnsi="Times New Roman" w:cs="Times New Roman"/>
          <w:sz w:val="28"/>
          <w:szCs w:val="28"/>
        </w:rPr>
        <w:t>2</w:t>
      </w:r>
      <w:r w:rsidRPr="00A956C5">
        <w:rPr>
          <w:rFonts w:ascii="Times New Roman" w:eastAsia="Aptos" w:hAnsi="Times New Roman" w:cs="Times New Roman"/>
          <w:sz w:val="28"/>
          <w:szCs w:val="28"/>
        </w:rPr>
        <w:t>, с. 125]. Для сотрудников СОБР это проявляется в осознании социальной значимости службы, что усиливает внутреннюю мобилизацию и способствует преодолению трудностей, связанных с риском для жизни и здоровья.</w:t>
      </w:r>
    </w:p>
    <w:p w14:paraId="6CB3C321" w14:textId="4C281E31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>Комплексный подход к изучению человека, предложенный Б. Г. Ананьевым, имеет особое значение для анализа профессиональной деятельности в силовых структурах. Учёный отмечал: «человек является предметом комплексного изучения» [</w:t>
      </w:r>
      <w:r w:rsidR="00E5679B">
        <w:rPr>
          <w:rFonts w:ascii="Times New Roman" w:eastAsia="Aptos" w:hAnsi="Times New Roman" w:cs="Times New Roman"/>
          <w:sz w:val="28"/>
          <w:szCs w:val="28"/>
        </w:rPr>
        <w:t>3</w:t>
      </w:r>
      <w:r w:rsidRPr="00A956C5">
        <w:rPr>
          <w:rFonts w:ascii="Times New Roman" w:eastAsia="Aptos" w:hAnsi="Times New Roman" w:cs="Times New Roman"/>
          <w:sz w:val="28"/>
          <w:szCs w:val="28"/>
        </w:rPr>
        <w:t>, с. 12], что предполагает учёт психофизиологических, личностных и социальных факторов, влияющих на надёжность деятельности сотрудников СОБР.</w:t>
      </w:r>
    </w:p>
    <w:p w14:paraId="5339F453" w14:textId="77777777" w:rsidR="00E5679B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 xml:space="preserve">Особую значимость в контексте служебной деятельности приобретает теория стресса. Г. Селье определял стресс как «неспецифическую реакцию организма на любое предъявленное ему требование» [4, с. 27]. </w:t>
      </w:r>
    </w:p>
    <w:p w14:paraId="4751C286" w14:textId="10527E7B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 xml:space="preserve">В условиях проведения специальных операций сотрудники СОБР постоянно находятся под воздействием стрессоров, включая угрозу жизни, дефицит времени и высокую ответственность за результат. В этой связи особую роль играют механизмы совладания со стрессом, описанные Р. Лазарусом, который рассматривал стресс через призму </w:t>
      </w:r>
      <w:r w:rsidR="00E5679B">
        <w:rPr>
          <w:rFonts w:ascii="Times New Roman" w:eastAsia="Aptos" w:hAnsi="Times New Roman" w:cs="Times New Roman"/>
          <w:sz w:val="28"/>
          <w:szCs w:val="28"/>
        </w:rPr>
        <w:t>«</w:t>
      </w:r>
      <w:r w:rsidRPr="00A956C5">
        <w:rPr>
          <w:rFonts w:ascii="Times New Roman" w:eastAsia="Aptos" w:hAnsi="Times New Roman" w:cs="Times New Roman"/>
          <w:sz w:val="28"/>
          <w:szCs w:val="28"/>
        </w:rPr>
        <w:t>когнитивной оценки ситуации и выбора стратегий поведения</w:t>
      </w:r>
      <w:r w:rsidR="00E5679B">
        <w:rPr>
          <w:rFonts w:ascii="Times New Roman" w:eastAsia="Aptos" w:hAnsi="Times New Roman" w:cs="Times New Roman"/>
          <w:sz w:val="28"/>
          <w:szCs w:val="28"/>
        </w:rPr>
        <w:t>»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[5</w:t>
      </w:r>
      <w:r w:rsidR="00E5679B">
        <w:rPr>
          <w:rFonts w:ascii="Times New Roman" w:eastAsia="Aptos" w:hAnsi="Times New Roman" w:cs="Times New Roman"/>
          <w:sz w:val="28"/>
          <w:szCs w:val="28"/>
        </w:rPr>
        <w:t>, с.136</w:t>
      </w:r>
      <w:r w:rsidRPr="00A956C5">
        <w:rPr>
          <w:rFonts w:ascii="Times New Roman" w:eastAsia="Aptos" w:hAnsi="Times New Roman" w:cs="Times New Roman"/>
          <w:sz w:val="28"/>
          <w:szCs w:val="28"/>
        </w:rPr>
        <w:t>].</w:t>
      </w:r>
    </w:p>
    <w:p w14:paraId="26A05A22" w14:textId="77777777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>Развитие концепции устойчивости нашло отражение в работах С. Кобасы, которая выделила феномен жизнестойкости как совокупность личностных установок, позволяющих эффективно противостоять стрессу [6]. Для сотрудников СОБР ключевыми компонентами жизнестойкости являются контроль над ситуацией, готовность к риску и высокая включённость в профессиональную деятельность.</w:t>
      </w:r>
    </w:p>
    <w:p w14:paraId="6DCFBE34" w14:textId="77777777" w:rsidR="00E5679B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 xml:space="preserve">В отечественной психологии вопросы профессиональной готовности получили развитие в трудах К. К. Платонова, который рассматривал её как системное образование, включающее когнитивный, операциональный и личностный компоненты [7]. </w:t>
      </w:r>
    </w:p>
    <w:p w14:paraId="70AEA0D1" w14:textId="39B4F2B4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>В условиях службы в СОБР профессиональная готовность дополняется такими характеристиками, как физическая выносливость, психологическая надёжность и способность к действиям в экстремальных условиях.</w:t>
      </w:r>
    </w:p>
    <w:p w14:paraId="765C634A" w14:textId="77777777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 xml:space="preserve">В. А. Бодров подчёркивал, что «надёжность деятельности в экстремальных условиях определяется уровнем психической регуляции и устойчивости </w:t>
      </w:r>
      <w:r w:rsidRPr="00A956C5">
        <w:rPr>
          <w:rFonts w:ascii="Times New Roman" w:eastAsia="Aptos" w:hAnsi="Times New Roman" w:cs="Times New Roman"/>
          <w:sz w:val="28"/>
          <w:szCs w:val="28"/>
        </w:rPr>
        <w:lastRenderedPageBreak/>
        <w:t>личности» [8, с. 74]. Это положение имеет прямое отношение к подготовке сотрудников СОБР, где ошибки могут иметь критические последствия.</w:t>
      </w:r>
    </w:p>
    <w:p w14:paraId="515A0757" w14:textId="77777777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>Особое значение имеют исследования М. И. Дьяченко и Л. А. Кандыбовича, которые рассматривали психологическую готовность как состояние мобилизации: «психологическая готовность представляет собой состояние мобилизации всех систем организма» [9, с. 36]. Для бойцов СОБР данное состояние является необходимым условием успешного выполнения служебных задач в условиях риска и неопределённости.</w:t>
      </w:r>
    </w:p>
    <w:p w14:paraId="05D87F62" w14:textId="77777777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>Современные подходы к подготовке специалистов силовых структур акцентируют внимание на развитии саморегуляции. В. И. Моросанова отмечает: «осознанная саморегуляция является важнейшим фактором успешности деятельности человека» [10, с. 15]. В практике подготовки сотрудников СОБР это выражается в формировании навыков управления эмоциональным состоянием, контроле поведения и поддержании работоспособности в стрессовых ситуациях.</w:t>
      </w:r>
    </w:p>
    <w:p w14:paraId="4C03AD26" w14:textId="77777777" w:rsidR="0096516D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 xml:space="preserve">Особое место в обеспечении профессиональной готовности сотрудников СОБР занимает нормативно-правовая база Республики Казахстан. В соответствии с Законом Республики Казахстан «О правоохранительной службе» от 6 января 2011 года № 380-IV (с изменениями и дополнениями), к сотрудникам предъявляются требования высокой профессиональной подготовленности, дисциплины и психологической устойчивости [11]. </w:t>
      </w:r>
    </w:p>
    <w:p w14:paraId="5D9B7FDB" w14:textId="4A522289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>Кроме того, в ведомственных нормативных актах МВД Республики Казахстан, в частности в приказах, регламентирующих деятельность специальных подразделений (например, Приказ МВД РК № 478 от 29 июля 2014 года «Об утверждении Типового положения о специальном отряде быстрого реагирования»), подчёркивается необходимость формирования у сотрудников готовности к действиям в экстремальных условиях, развития морально-психологических качеств и устойчивости к стрессу [12].</w:t>
      </w:r>
    </w:p>
    <w:p w14:paraId="530541A7" w14:textId="0586C37D" w:rsidR="00A956C5" w:rsidRP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A956C5">
        <w:rPr>
          <w:rFonts w:ascii="Times New Roman" w:eastAsia="Aptos" w:hAnsi="Times New Roman" w:cs="Times New Roman"/>
          <w:sz w:val="28"/>
          <w:szCs w:val="28"/>
        </w:rPr>
        <w:t>Таким образом, анализ научных подходов и нормативных требований показывает, что психологическая устойчивость и профессиональная готовность сотрудников СОБР представляют собой интегративные характеристики личности, обеспечивающие надёжность и эффективность служебной деятельности. Их формирование требует системного психолого-педагогического сопровождения, учитывающего специфику экстремальной профессиональной среды и требования современной правоохранительной практики.</w:t>
      </w:r>
    </w:p>
    <w:p w14:paraId="15F122B3" w14:textId="4E203599" w:rsidR="00F14391" w:rsidRDefault="00AE4EF9" w:rsidP="0032081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Одним из значимых показателей профессионального становления личности является уверенность в правильности выбора профессии. Данный показатель отражает уровень сформированности профессиональной мотивации, устойчивость профессиональной направленности и степень идентификации личности с избранной сферой деятельности.</w:t>
      </w:r>
    </w:p>
    <w:p w14:paraId="47E78BE6" w14:textId="24DAE5E1" w:rsidR="00AE4EF9" w:rsidRDefault="00AE4EF9" w:rsidP="00F14391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 В условиях службы в органах внутренних дел уверенность в профессиональном выборе выступает важным фактором, обеспечивающим стабильность профессионального поведения и готовность к выполнению общественно значимых задач.</w:t>
      </w:r>
      <w:r w:rsidR="00F14391">
        <w:rPr>
          <w:rFonts w:ascii="Times New Roman" w:eastAsia="Aptos" w:hAnsi="Times New Roman" w:cs="Times New Roman"/>
          <w:sz w:val="28"/>
          <w:szCs w:val="28"/>
        </w:rPr>
        <w:t xml:space="preserve"> Представим результаты</w:t>
      </w:r>
      <w:r w:rsidR="00C3492A">
        <w:rPr>
          <w:rFonts w:ascii="Times New Roman" w:eastAsia="Aptos" w:hAnsi="Times New Roman" w:cs="Times New Roman"/>
          <w:sz w:val="28"/>
          <w:szCs w:val="28"/>
        </w:rPr>
        <w:t xml:space="preserve"> проведенного </w:t>
      </w:r>
      <w:r w:rsidR="00F14391">
        <w:rPr>
          <w:rFonts w:ascii="Times New Roman" w:eastAsia="Aptos" w:hAnsi="Times New Roman" w:cs="Times New Roman"/>
          <w:sz w:val="28"/>
          <w:szCs w:val="28"/>
        </w:rPr>
        <w:t xml:space="preserve"> опроса </w:t>
      </w:r>
      <w:r w:rsidR="00C3492A">
        <w:rPr>
          <w:rFonts w:ascii="Times New Roman" w:eastAsia="Aptos" w:hAnsi="Times New Roman" w:cs="Times New Roman"/>
          <w:sz w:val="28"/>
          <w:szCs w:val="28"/>
        </w:rPr>
        <w:t xml:space="preserve">. </w:t>
      </w:r>
    </w:p>
    <w:p w14:paraId="619C46EC" w14:textId="77777777" w:rsidR="00F14391" w:rsidRDefault="00F14391" w:rsidP="00F14391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65453B20" w14:textId="73E92520" w:rsidR="00F14391" w:rsidRDefault="0096516D" w:rsidP="00C3492A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96516D">
        <w:rPr>
          <w:rFonts w:ascii="Times New Roman" w:eastAsia="Aptos" w:hAnsi="Times New Roman" w:cs="Times New Roman"/>
          <w:sz w:val="28"/>
          <w:szCs w:val="28"/>
        </w:rPr>
        <w:lastRenderedPageBreak/>
        <w:drawing>
          <wp:inline distT="0" distB="0" distL="0" distR="0" wp14:anchorId="524222AD" wp14:editId="70024926">
            <wp:extent cx="5206170" cy="2293853"/>
            <wp:effectExtent l="0" t="0" r="0" b="0"/>
            <wp:docPr id="765501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018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4748" cy="231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6607" w14:textId="77777777" w:rsidR="00F14391" w:rsidRDefault="00F14391" w:rsidP="0032081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1AF758CD" w14:textId="7251AC81" w:rsidR="00AE4EF9" w:rsidRDefault="00AE4EF9" w:rsidP="00C3492A">
      <w:pPr>
        <w:spacing w:after="0" w:line="240" w:lineRule="auto"/>
        <w:ind w:firstLine="567"/>
        <w:jc w:val="center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Рисунок </w:t>
      </w:r>
      <w:r w:rsidR="00C3492A">
        <w:rPr>
          <w:rFonts w:ascii="Times New Roman" w:eastAsia="Aptos" w:hAnsi="Times New Roman" w:cs="Times New Roman"/>
          <w:sz w:val="28"/>
          <w:szCs w:val="28"/>
        </w:rPr>
        <w:t>1</w:t>
      </w:r>
      <w:r w:rsidRPr="00087AFB">
        <w:rPr>
          <w:rFonts w:ascii="Times New Roman" w:eastAsia="Aptos" w:hAnsi="Times New Roman" w:cs="Times New Roman"/>
          <w:sz w:val="28"/>
          <w:szCs w:val="28"/>
        </w:rPr>
        <w:t xml:space="preserve"> – </w:t>
      </w:r>
      <w:r w:rsidR="00BC4C7E">
        <w:rPr>
          <w:rFonts w:ascii="Times New Roman" w:eastAsia="Aptos" w:hAnsi="Times New Roman" w:cs="Times New Roman"/>
          <w:sz w:val="28"/>
          <w:szCs w:val="28"/>
        </w:rPr>
        <w:t xml:space="preserve">Уверенность в правильности </w:t>
      </w:r>
      <w:r w:rsidRPr="00087AFB">
        <w:rPr>
          <w:rFonts w:ascii="Times New Roman" w:eastAsia="Aptos" w:hAnsi="Times New Roman" w:cs="Times New Roman"/>
          <w:sz w:val="28"/>
          <w:szCs w:val="28"/>
        </w:rPr>
        <w:t>выбора профессии военнослужащими СОБР Департамента полиции Северо-Казахстанской области</w:t>
      </w:r>
    </w:p>
    <w:p w14:paraId="3BFB6558" w14:textId="77777777" w:rsidR="00C3492A" w:rsidRPr="00087AFB" w:rsidRDefault="00C3492A" w:rsidP="00C3492A">
      <w:pPr>
        <w:spacing w:after="0" w:line="240" w:lineRule="auto"/>
        <w:ind w:firstLine="567"/>
        <w:jc w:val="center"/>
        <w:rPr>
          <w:rFonts w:ascii="Times New Roman" w:eastAsia="Aptos" w:hAnsi="Times New Roman" w:cs="Times New Roman"/>
          <w:sz w:val="28"/>
          <w:szCs w:val="28"/>
        </w:rPr>
      </w:pPr>
    </w:p>
    <w:p w14:paraId="1E166274" w14:textId="466388E6" w:rsidR="00AE4EF9" w:rsidRPr="00087AFB" w:rsidRDefault="00AE4EF9" w:rsidP="0032081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Обратимся к интерпретации результатов (рисунок </w:t>
      </w:r>
      <w:r w:rsidR="00C3492A">
        <w:rPr>
          <w:rFonts w:ascii="Times New Roman" w:eastAsia="Aptos" w:hAnsi="Times New Roman" w:cs="Times New Roman"/>
          <w:sz w:val="28"/>
          <w:szCs w:val="28"/>
        </w:rPr>
        <w:t>1</w:t>
      </w:r>
      <w:r w:rsidRPr="00087AFB">
        <w:rPr>
          <w:rFonts w:ascii="Times New Roman" w:eastAsia="Aptos" w:hAnsi="Times New Roman" w:cs="Times New Roman"/>
          <w:sz w:val="28"/>
          <w:szCs w:val="28"/>
        </w:rPr>
        <w:t>). Анализ полученных данных показывает, что подавляющее большинство респондентов демонстрирует высокий уровень уверенности в правильности выбора профессии. Так, 83,3% опрошенных полностью согласны с утверждением, что они уверены в правильности своего профессионального выбора, а еще 13,3% отмечают, что скорее согласны с данным утверждением.</w:t>
      </w:r>
    </w:p>
    <w:p w14:paraId="5BCBB589" w14:textId="3B418DF2" w:rsidR="00AE4EF9" w:rsidRPr="00087AFB" w:rsidRDefault="00AE4EF9" w:rsidP="0032081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Незначительная доля респондентов (3,</w:t>
      </w:r>
      <w:r w:rsidR="00C3492A">
        <w:rPr>
          <w:rFonts w:ascii="Times New Roman" w:eastAsia="Aptos" w:hAnsi="Times New Roman" w:cs="Times New Roman"/>
          <w:sz w:val="28"/>
          <w:szCs w:val="28"/>
        </w:rPr>
        <w:t>4</w:t>
      </w:r>
      <w:r w:rsidRPr="00087AFB">
        <w:rPr>
          <w:rFonts w:ascii="Times New Roman" w:eastAsia="Aptos" w:hAnsi="Times New Roman" w:cs="Times New Roman"/>
          <w:sz w:val="28"/>
          <w:szCs w:val="28"/>
        </w:rPr>
        <w:t>%) затруднилась с ответом, при этом отрицательные оценки полностью отсутствуют. Это свидетельствует о высокой степени согласованности мнений и устойчивой позитивной оценке собственного профессионального выбора.</w:t>
      </w:r>
    </w:p>
    <w:p w14:paraId="310027DB" w14:textId="04B6A9DE" w:rsidR="00AE4EF9" w:rsidRPr="00087AFB" w:rsidRDefault="00AE4EF9" w:rsidP="00AE4EF9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Полученные результаты </w:t>
      </w:r>
      <w:r w:rsidR="00C3492A">
        <w:rPr>
          <w:rFonts w:ascii="Times New Roman" w:eastAsia="Aptos" w:hAnsi="Times New Roman" w:cs="Times New Roman"/>
          <w:sz w:val="28"/>
          <w:szCs w:val="28"/>
        </w:rPr>
        <w:t>убеждают в</w:t>
      </w:r>
      <w:r w:rsidRPr="00087AFB">
        <w:rPr>
          <w:rFonts w:ascii="Times New Roman" w:eastAsia="Aptos" w:hAnsi="Times New Roman" w:cs="Times New Roman"/>
          <w:sz w:val="28"/>
          <w:szCs w:val="28"/>
        </w:rPr>
        <w:t xml:space="preserve"> сформированности у большинства сотрудников устойчивой профессиональной направленности и положительной профессиональной идентичности. Уверенность в правильности выбора профессии выступает важным внутренним ресурсом личности, способствующим повышению удовлетворенности службой, снижению уровня профессионального стресса и укреплению мотивации к дальнейшему профессиональному развитию.</w:t>
      </w:r>
    </w:p>
    <w:p w14:paraId="5A2B3D9D" w14:textId="6E9F5A20" w:rsidR="00AE4EF9" w:rsidRDefault="00AE4EF9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В контексте профессионального становления данный показатель отражает завершенность этапа первичного самоопределения и переход к стадии устойчивого профессионального функционирования. Высокий уровень уверенности в выборе профессии также выступает значимой предпосылкой формирования психологической готовности к служебной деятельности, так как обеспечивает внутреннюю согласованность личности и её ориентацию на эффективное выполнение профессиональных задач.</w:t>
      </w:r>
    </w:p>
    <w:p w14:paraId="22AA90DC" w14:textId="02B229EE" w:rsidR="00087AFB" w:rsidRDefault="00AE4EF9" w:rsidP="00AE4EF9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 Как известно, у</w:t>
      </w:r>
      <w:r w:rsidR="00087AFB" w:rsidRPr="00087AFB">
        <w:rPr>
          <w:rFonts w:ascii="Times New Roman" w:eastAsia="Aptos" w:hAnsi="Times New Roman" w:cs="Times New Roman"/>
          <w:sz w:val="28"/>
          <w:szCs w:val="28"/>
        </w:rPr>
        <w:t>спешная адаптация выступает начальным этапом профессионального становления, в рамках которого происходит освоение нормативных требований, включение в профессиональную среду и формирование первичного опыта выполнения служебных обязанностей.</w:t>
      </w:r>
      <w:r w:rsidR="00251246">
        <w:rPr>
          <w:rFonts w:ascii="Times New Roman" w:eastAsia="Aptos" w:hAnsi="Times New Roman" w:cs="Times New Roman"/>
          <w:sz w:val="28"/>
          <w:szCs w:val="28"/>
        </w:rPr>
        <w:t xml:space="preserve"> На рисунке 2 представим данные полученные в подразделении СОБР.</w:t>
      </w:r>
    </w:p>
    <w:p w14:paraId="3EEC3F5C" w14:textId="77777777" w:rsidR="00251246" w:rsidRPr="00087AFB" w:rsidRDefault="00251246" w:rsidP="00AE4EF9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75817DED" w14:textId="7CAFCF2D" w:rsidR="00251246" w:rsidRDefault="00251246" w:rsidP="00251246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251246">
        <w:rPr>
          <w:rFonts w:ascii="Times New Roman" w:eastAsia="Aptos" w:hAnsi="Times New Roman" w:cs="Times New Roman"/>
          <w:sz w:val="28"/>
          <w:szCs w:val="28"/>
        </w:rPr>
        <w:lastRenderedPageBreak/>
        <w:drawing>
          <wp:inline distT="0" distB="0" distL="0" distR="0" wp14:anchorId="7FABE8A1" wp14:editId="19F1CBFB">
            <wp:extent cx="5746750" cy="2186940"/>
            <wp:effectExtent l="0" t="0" r="6350" b="3810"/>
            <wp:docPr id="1106105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050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3457" cy="21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F679" w14:textId="77777777" w:rsidR="00251246" w:rsidRDefault="00251246" w:rsidP="00251246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768234D6" w14:textId="77777777" w:rsidR="00251246" w:rsidRDefault="00251246" w:rsidP="00251246">
      <w:pPr>
        <w:spacing w:after="0" w:line="240" w:lineRule="auto"/>
        <w:ind w:firstLine="567"/>
        <w:jc w:val="center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Aptos" w:hAnsi="Times New Roman" w:cs="Times New Roman"/>
          <w:sz w:val="28"/>
          <w:szCs w:val="28"/>
        </w:rPr>
        <w:t xml:space="preserve"> </w:t>
      </w:r>
      <w:r w:rsidRPr="00087AFB">
        <w:rPr>
          <w:rFonts w:ascii="Times New Roman" w:eastAsia="Aptos" w:hAnsi="Times New Roman" w:cs="Times New Roman"/>
          <w:sz w:val="28"/>
          <w:szCs w:val="28"/>
        </w:rPr>
        <w:t xml:space="preserve"> – </w:t>
      </w:r>
      <w:r>
        <w:rPr>
          <w:rFonts w:ascii="Times New Roman" w:eastAsia="Aptos" w:hAnsi="Times New Roman" w:cs="Times New Roman"/>
          <w:sz w:val="28"/>
          <w:szCs w:val="28"/>
        </w:rPr>
        <w:t xml:space="preserve">Адаптация к службе </w:t>
      </w:r>
      <w:r w:rsidRPr="00087AFB">
        <w:rPr>
          <w:rFonts w:ascii="Times New Roman" w:eastAsia="Aptos" w:hAnsi="Times New Roman" w:cs="Times New Roman"/>
          <w:sz w:val="28"/>
          <w:szCs w:val="28"/>
        </w:rPr>
        <w:t xml:space="preserve"> военнослужащими СОБР </w:t>
      </w:r>
    </w:p>
    <w:p w14:paraId="143D44F8" w14:textId="4C5BBD83" w:rsidR="00251246" w:rsidRDefault="00251246" w:rsidP="00251246">
      <w:pPr>
        <w:spacing w:after="0" w:line="240" w:lineRule="auto"/>
        <w:ind w:firstLine="567"/>
        <w:jc w:val="center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Департамента полиции Северо-Казахстанской области</w:t>
      </w:r>
    </w:p>
    <w:p w14:paraId="63B56585" w14:textId="77777777" w:rsidR="00251246" w:rsidRDefault="00251246" w:rsidP="00251246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5EED8B16" w14:textId="451C9B60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Обратимся к интерпретации результатов. Полученные данные позволяют сделать вывод о том, что в исследуемом подразделении сформирован высокий уровень понимания сотрудниками своей профессиональной роли. Доминирование максимальной оценки («полностью согласен») указывает не только на формальное знание должностных обязанностей, но и на их внутреннее принятие, осознание своей функциональной позиции в системе служебной деятельности и готовность действовать в соответствии с профессиональными требованиями.</w:t>
      </w:r>
    </w:p>
    <w:p w14:paraId="7152B5BB" w14:textId="77777777" w:rsidR="004D4A17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Следует отметить, что полученные данные логически согласуются с результатами анализа уровня адаптации сотрудников. Высокий уровень адаптированности (90% положительных ответов) создает основу для формирования более глубокого уровня включенности в деятельность — осознания профессиональной роли. </w:t>
      </w:r>
    </w:p>
    <w:p w14:paraId="7FA83AB3" w14:textId="3D153302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Отсутствие отрицательных ответов по данному показателю позволяет утверждать, что адаптационный этап в целом успешно пройден и трансформировался в устойчивое понимание и принятие профессиональной позиции. Исходя их сказанного выше, мы можем сделать следующие научные выводы:</w:t>
      </w:r>
    </w:p>
    <w:p w14:paraId="73E0ECA5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результаты исследования свидетельствуют о высоком уровне сформированности понимания профессиональной роли у сотрудников, что является важным показателем их профессионального становления;</w:t>
      </w:r>
    </w:p>
    <w:p w14:paraId="16E36D74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доминирование положительных оценок и отсутствие отрицательных ответов позволяют рассматривать данный показатель как устойчиво сформированный у большинства респондентов.</w:t>
      </w:r>
    </w:p>
    <w:p w14:paraId="2DEACA31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Таким образом, высокий уровень осознания профессиональной роли выступает значимой предпосылкой формирования психологической готовности к служебной деятельности, поскольку обеспечивает осмысленность действий, внутреннюю согласованность поведения и готовность к принятию решений в условиях повышенной ответственности.</w:t>
      </w:r>
    </w:p>
    <w:p w14:paraId="31E2B3B1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lastRenderedPageBreak/>
        <w:t xml:space="preserve">Логический переход к следующему вопросу связан с психологической готовностью военнослужащих СОБР к профессиональной деятельности. </w:t>
      </w:r>
    </w:p>
    <w:p w14:paraId="61145335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Проведённый анализ показателей профессионального становления позволил установить и доказать, что в исследуемом подразделении сформированы базовые компоненты профессионального развития сотрудников, включающие успешную адаптацию к служебной деятельности, осознание профессиональной роли и уверенность в правильности выбора профессии.</w:t>
      </w:r>
    </w:p>
    <w:p w14:paraId="63C90426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Вместе с тем, в логике современных психолого-педагогических подходов (деятельностного — С. Л. Рубинштейн, системного — Б. Г. Ананьев, концепции профессионализации личности — А. К. Маркова) данные показатели рассматриваются не как конечный результат, а как основа формирования психологической готовности личности к профессиональной деятельности.</w:t>
      </w:r>
    </w:p>
    <w:p w14:paraId="31B11539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Иными словами, достигнутый уровень профессионального становления создает необходимые предпосылки для перехода на более высокий уровень — психологическую готовность, которая проявляется в способности эффективно действовать в условиях неопределенности, повышенной ответственности, стрессогенности и социальной значимости служебной деятельности.</w:t>
      </w:r>
    </w:p>
    <w:p w14:paraId="7188095D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В этой связи дальнейшее исследование закономерно направлено на анализ психологической готовности сотрудников как интегративного качества личности, обеспечивающего успешность профессиональной деятельности в системе органов внутренних дел.</w:t>
      </w:r>
    </w:p>
    <w:p w14:paraId="3D345C4C" w14:textId="3C0B7630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87A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Контрольный этап исследования</w:t>
      </w:r>
      <w:r w:rsidR="004D4A1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был</w:t>
      </w:r>
      <w:r w:rsidRPr="00087A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направлен на оценку результатов сформированности показателей профессионального становления и психологической готовности сотрудников после проведённой работы. На данном этапе осуществляется анализ изменений, произошедших в уровне профессионального развития, а также выявляется степень устойчивости сформированных качеств.</w:t>
      </w:r>
    </w:p>
    <w:p w14:paraId="52F21CB2" w14:textId="77777777" w:rsidR="00C57197" w:rsidRDefault="00087AFB" w:rsidP="00087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87A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Особое внимание уделяется таким показателям, как осознание профессионального роста, отражающее динамику развития личности в профессиональной деятельности, уровень удовлетворенности службой и готовность к дальнейшему профессиональному совершенствованию. </w:t>
      </w:r>
    </w:p>
    <w:p w14:paraId="17FE9DBB" w14:textId="77777777" w:rsidR="00C57197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Показатель профессионального роста позволяет оценить не только объективные изменения в деятельности сотрудника, но и субъективное восприятие собственного развития, что является важным критерием зрелости профессионального становления.</w:t>
      </w:r>
      <w:r w:rsidRPr="00087AFB">
        <w:rPr>
          <w:rFonts w:ascii="Times New Roman" w:eastAsia="Aptos" w:hAnsi="Times New Roman" w:cs="Times New Roman"/>
          <w:sz w:val="28"/>
          <w:szCs w:val="28"/>
        </w:rPr>
        <w:t xml:space="preserve"> </w:t>
      </w:r>
    </w:p>
    <w:p w14:paraId="1CC5918C" w14:textId="2D43AADD" w:rsid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Обратимся к анализу результатов (рисунок </w:t>
      </w:r>
      <w:r w:rsidR="00C57197">
        <w:rPr>
          <w:rFonts w:ascii="Times New Roman" w:eastAsia="Aptos" w:hAnsi="Times New Roman" w:cs="Times New Roman"/>
          <w:sz w:val="28"/>
          <w:szCs w:val="28"/>
        </w:rPr>
        <w:t>3</w:t>
      </w:r>
      <w:r w:rsidRPr="00087AFB">
        <w:rPr>
          <w:rFonts w:ascii="Times New Roman" w:eastAsia="Aptos" w:hAnsi="Times New Roman" w:cs="Times New Roman"/>
          <w:sz w:val="28"/>
          <w:szCs w:val="28"/>
        </w:rPr>
        <w:t xml:space="preserve">). </w:t>
      </w:r>
    </w:p>
    <w:p w14:paraId="6938AAF7" w14:textId="77777777" w:rsidR="00D43E28" w:rsidRPr="00087AFB" w:rsidRDefault="00D43E28" w:rsidP="00D43E28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Результаты опроса по утверждению «Я ощущаю профессиональный рост» свидетельствуют о преимущественно положительной оценке респондентами динамики собственного профессионального развития (n = 30).</w:t>
      </w:r>
    </w:p>
    <w:p w14:paraId="3E03C0EA" w14:textId="77777777" w:rsidR="00D43E28" w:rsidRPr="00087AFB" w:rsidRDefault="00D43E28" w:rsidP="00D43E28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Установлено, что 56,7% опрошенных (17 человек) полностью согласны с данным утверждением, а 30% (9 человек) отметили вариант «скорее согласен». Таким образом, совокупная доля положительных ответов составляет 86,7%, что свидетельствует о выраженном ощущении профессионального роста у большинства сотрудников.</w:t>
      </w:r>
    </w:p>
    <w:p w14:paraId="695B28CA" w14:textId="77777777" w:rsidR="00D43E28" w:rsidRPr="00087AFB" w:rsidRDefault="00D43E28" w:rsidP="00087A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26D7BB4" w14:textId="77777777" w:rsid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b/>
          <w:bCs/>
          <w:sz w:val="28"/>
          <w:szCs w:val="28"/>
        </w:rPr>
      </w:pPr>
    </w:p>
    <w:p w14:paraId="29E2C9F5" w14:textId="744085D2" w:rsidR="00C57197" w:rsidRPr="00087AFB" w:rsidRDefault="00C57197" w:rsidP="00C57197">
      <w:pPr>
        <w:spacing w:after="0" w:line="240" w:lineRule="auto"/>
        <w:ind w:hanging="142"/>
        <w:jc w:val="both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C57197">
        <w:rPr>
          <w:rFonts w:ascii="Times New Roman" w:eastAsia="Aptos" w:hAnsi="Times New Roman" w:cs="Times New Roman"/>
          <w:b/>
          <w:bCs/>
          <w:sz w:val="28"/>
          <w:szCs w:val="28"/>
        </w:rPr>
        <w:drawing>
          <wp:inline distT="0" distB="0" distL="0" distR="0" wp14:anchorId="6A5AC36C" wp14:editId="4DE16F3F">
            <wp:extent cx="6007100" cy="2197587"/>
            <wp:effectExtent l="0" t="0" r="0" b="0"/>
            <wp:docPr id="2131218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181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626" cy="221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8C0C" w14:textId="59AA352C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b/>
          <w:bCs/>
          <w:sz w:val="28"/>
          <w:szCs w:val="28"/>
        </w:rPr>
      </w:pPr>
    </w:p>
    <w:p w14:paraId="441C722A" w14:textId="6B9C2251" w:rsid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Рисунок </w:t>
      </w:r>
      <w:r w:rsidR="005C7C80">
        <w:rPr>
          <w:rFonts w:ascii="Times New Roman" w:eastAsia="Aptos" w:hAnsi="Times New Roman" w:cs="Times New Roman"/>
          <w:sz w:val="28"/>
          <w:szCs w:val="28"/>
        </w:rPr>
        <w:t>3</w:t>
      </w:r>
      <w:r w:rsidRPr="00087AFB">
        <w:rPr>
          <w:rFonts w:ascii="Times New Roman" w:eastAsia="Aptos" w:hAnsi="Times New Roman" w:cs="Times New Roman"/>
          <w:sz w:val="28"/>
          <w:szCs w:val="28"/>
        </w:rPr>
        <w:t xml:space="preserve"> – Профессиональный рост военнослужащих СОБР Департамента полиции Северо-Казахстанской области</w:t>
      </w:r>
    </w:p>
    <w:p w14:paraId="2969E0A3" w14:textId="77777777" w:rsidR="00C57197" w:rsidRPr="00087AFB" w:rsidRDefault="00C57197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62B19334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В то же время 10% респондентов (3 человека) затруднились с ответом, что может указывать на недостаточную осознанность динамики собственного профессионального развития либо на нестабильность профессиональных достижений. 3,3% опрошенных (1 человек) полностью не согласны с утверждением, что может свидетельствовать о наличии индивидуальных затруднений в профессиональном становлении или неудовлетворенности текущим уровнем развития.</w:t>
      </w:r>
    </w:p>
    <w:p w14:paraId="5169165E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Отрицательные оценки при этом носят единичный характер, а вариант «скорее не согласен» в выборке отсутствует, что указывает на отсутствие выраженной тенденции к негативной оценке профессионального роста.</w:t>
      </w:r>
    </w:p>
    <w:p w14:paraId="478C043E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Обратимся к интерпретации результатов. Полученные данные позволяют сделать вывод о том, что в исследуемом подразделении в целом сформировано позитивное восприятие сотрудниками собственного профессионального развития. Преобладание положительных оценок свидетельствует о наличии условий, способствующих профессиональному совершенствованию, а также о сформированности мотивации к дальнейшему развитию.</w:t>
      </w:r>
    </w:p>
    <w:p w14:paraId="618B8E2C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Высокий уровень согласия с утверждением о профессиональном росте указывает на то, что сотрудники не только адаптировались к условиям службы и осознали свою профессиональную роль, но и перешли на более высокий уровень профессионального становления, связанный с развитием и самореализацией в профессии.</w:t>
      </w:r>
    </w:p>
    <w:p w14:paraId="41DA0B0C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В контексте проведённого исследования данный показатель подтверждает эффективность реализованных мероприятий и свидетельствует о положительной динамике профессионального становления сотрудников.</w:t>
      </w:r>
    </w:p>
    <w:p w14:paraId="655EC3E6" w14:textId="77777777" w:rsid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Одним из ключевых показателей психологической готовности сотрудника к служебной деятельности является степень понимания требований службы и соответствия им. Данный показатель отражает уровень сформированности профессиональной компетентности, дисциплинированности и способности </w:t>
      </w:r>
      <w:r w:rsidRPr="00087AFB">
        <w:rPr>
          <w:rFonts w:ascii="Times New Roman" w:eastAsia="Aptos" w:hAnsi="Times New Roman" w:cs="Times New Roman"/>
          <w:sz w:val="28"/>
          <w:szCs w:val="28"/>
        </w:rPr>
        <w:lastRenderedPageBreak/>
        <w:t>действовать в соответствии с нормативными и функциональными требованиями профессиональной среды.</w:t>
      </w:r>
    </w:p>
    <w:p w14:paraId="592E83CF" w14:textId="77777777" w:rsidR="005C7C80" w:rsidRDefault="005C7C80" w:rsidP="005C7C80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0173FB0C" w14:textId="697FB018" w:rsidR="005C7C80" w:rsidRDefault="005C7C80" w:rsidP="005C7C80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5C7C80">
        <w:rPr>
          <w:rFonts w:ascii="Times New Roman" w:eastAsia="Aptos" w:hAnsi="Times New Roman" w:cs="Times New Roman"/>
          <w:sz w:val="28"/>
          <w:szCs w:val="28"/>
        </w:rPr>
        <w:drawing>
          <wp:inline distT="0" distB="0" distL="0" distR="0" wp14:anchorId="629374D7" wp14:editId="71C5199C">
            <wp:extent cx="5962650" cy="2432459"/>
            <wp:effectExtent l="0" t="0" r="0" b="6350"/>
            <wp:docPr id="1421418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186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7158" cy="244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6B4F" w14:textId="77777777" w:rsidR="005C7C80" w:rsidRDefault="005C7C80" w:rsidP="005C7C80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Рисунок </w:t>
      </w:r>
      <w:r>
        <w:rPr>
          <w:rFonts w:ascii="Times New Roman" w:eastAsia="Aptos" w:hAnsi="Times New Roman" w:cs="Times New Roman"/>
          <w:sz w:val="28"/>
          <w:szCs w:val="28"/>
        </w:rPr>
        <w:t xml:space="preserve">4 </w:t>
      </w:r>
      <w:r w:rsidRPr="00087AFB">
        <w:rPr>
          <w:rFonts w:ascii="Times New Roman" w:eastAsia="Aptos" w:hAnsi="Times New Roman" w:cs="Times New Roman"/>
          <w:sz w:val="28"/>
          <w:szCs w:val="28"/>
        </w:rPr>
        <w:t xml:space="preserve">- </w:t>
      </w:r>
      <w:r>
        <w:rPr>
          <w:rFonts w:ascii="Times New Roman" w:eastAsia="Aptos" w:hAnsi="Times New Roman" w:cs="Times New Roman"/>
          <w:sz w:val="28"/>
          <w:szCs w:val="28"/>
        </w:rPr>
        <w:t xml:space="preserve">Соответствие </w:t>
      </w:r>
      <w:r w:rsidRPr="00087AFB">
        <w:rPr>
          <w:rFonts w:ascii="Times New Roman" w:eastAsia="Aptos" w:hAnsi="Times New Roman" w:cs="Times New Roman"/>
          <w:sz w:val="28"/>
          <w:szCs w:val="28"/>
        </w:rPr>
        <w:t>требовани</w:t>
      </w:r>
      <w:r>
        <w:rPr>
          <w:rFonts w:ascii="Times New Roman" w:eastAsia="Aptos" w:hAnsi="Times New Roman" w:cs="Times New Roman"/>
          <w:sz w:val="28"/>
          <w:szCs w:val="28"/>
        </w:rPr>
        <w:t>ям</w:t>
      </w:r>
      <w:r w:rsidRPr="00087AFB">
        <w:rPr>
          <w:rFonts w:ascii="Times New Roman" w:eastAsia="Aptos" w:hAnsi="Times New Roman" w:cs="Times New Roman"/>
          <w:sz w:val="28"/>
          <w:szCs w:val="28"/>
        </w:rPr>
        <w:t xml:space="preserve"> службы военнослужащими </w:t>
      </w:r>
    </w:p>
    <w:p w14:paraId="723621DA" w14:textId="46FCF89D" w:rsidR="005C7C80" w:rsidRPr="00087AFB" w:rsidRDefault="005C7C80" w:rsidP="005C7C80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СОБР Департамента полиции Северо-Казахстанской области</w:t>
      </w:r>
    </w:p>
    <w:p w14:paraId="57B913B6" w14:textId="77777777" w:rsidR="005C7C80" w:rsidRPr="00087AFB" w:rsidRDefault="005C7C80" w:rsidP="005C7C80">
      <w:pPr>
        <w:spacing w:after="0" w:line="24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7F8E4430" w14:textId="1CF1F69E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Проведем анализ и  дадим интерпретацию результатов (рисунок - </w:t>
      </w:r>
      <w:r w:rsidR="005C7C80">
        <w:rPr>
          <w:rFonts w:ascii="Times New Roman" w:eastAsia="Aptos" w:hAnsi="Times New Roman" w:cs="Times New Roman"/>
          <w:sz w:val="28"/>
          <w:szCs w:val="28"/>
        </w:rPr>
        <w:t>4</w:t>
      </w:r>
      <w:r w:rsidRPr="00087AFB">
        <w:rPr>
          <w:rFonts w:ascii="Times New Roman" w:eastAsia="Aptos" w:hAnsi="Times New Roman" w:cs="Times New Roman"/>
          <w:sz w:val="28"/>
          <w:szCs w:val="28"/>
        </w:rPr>
        <w:t>).</w:t>
      </w:r>
    </w:p>
    <w:p w14:paraId="0FDAEC63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Результаты опроса по утверждению «Я понимаю требования службы и соответствую им» свидетельствуют о высоком уровне сформированности данного показателя у респондентов (n = 30).</w:t>
      </w:r>
    </w:p>
    <w:p w14:paraId="5CAB4AAF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Установлено, что 83,3% опрошенных (25 человек) полностью согласны с данным утверждением, а 13,3% (4 человека) выбрали вариант «скорее согласен». Таким образом, совокупная доля положительных ответов составляет 96,6%, что указывает на практически полное принятие и понимание требований служебной деятельности сотрудниками.</w:t>
      </w:r>
    </w:p>
    <w:p w14:paraId="325D08AC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Незначительная часть респондентов (3,3% — 1 человек) затруднилась с ответом, при этом отрицательные оценки полностью отсутствуют. Это свидетельствует о высокой степени сформированности профессиональной дисциплины и осознанного отношения к служебным обязанностям.</w:t>
      </w:r>
    </w:p>
    <w:p w14:paraId="1EAE8612" w14:textId="2753B219" w:rsidR="00087AFB" w:rsidRPr="00471196" w:rsidRDefault="00087AFB" w:rsidP="00D43E28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  <w:highlight w:val="yellow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Полученные данные позволяют сделать вывод о том, что сотрудники не только осознают требования службы, но и воспринимают себя как соответствующих данным требованиям. Это отражает высокий уровень профессиональной зрелости, сформированность нормативного поведения и готовность к выполнению служебных задач в условиях регламентированной деятельности.</w:t>
      </w:r>
    </w:p>
    <w:p w14:paraId="2BEF5F9E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Полученные данные позволяют сделать вывод о том, что в целом в подразделении сформирована позитивная установка на профессиональное развитие через преодоление трудностей, однако данный показатель выражен менее однозначно по сравнению с предыдущими результатами (адаптация, понимание роли, соответствие требованиям службы). </w:t>
      </w:r>
    </w:p>
    <w:p w14:paraId="1933EBE5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 xml:space="preserve">Наличие доли неопределенных и отрицательных ответов указывает на различия в уровне психологической готовности сотрудников, в частности — в </w:t>
      </w:r>
      <w:r w:rsidRPr="00087AFB">
        <w:rPr>
          <w:rFonts w:ascii="Times New Roman" w:eastAsia="Aptos" w:hAnsi="Times New Roman" w:cs="Times New Roman"/>
          <w:sz w:val="28"/>
          <w:szCs w:val="28"/>
        </w:rPr>
        <w:lastRenderedPageBreak/>
        <w:t xml:space="preserve">развитии таких качеств, как стрессоустойчивость, рефлексивность и способность к конструктивному восприятию профессиональных вызовов. </w:t>
      </w:r>
    </w:p>
    <w:p w14:paraId="77ED6C35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Это позволяет рассматривать данный показатель как более чувствительный индикатор глубинных аспектов профессионального становления, связанных не только с принятием профессии, но и с готовностью к её сложностям.</w:t>
      </w:r>
    </w:p>
    <w:p w14:paraId="6A5D1A0C" w14:textId="77777777" w:rsidR="00087AFB" w:rsidRPr="00087AFB" w:rsidRDefault="00087AFB" w:rsidP="00087AFB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 w:rsidRPr="00087AFB">
        <w:rPr>
          <w:rFonts w:ascii="Times New Roman" w:eastAsia="Aptos" w:hAnsi="Times New Roman" w:cs="Times New Roman"/>
          <w:sz w:val="28"/>
          <w:szCs w:val="28"/>
        </w:rPr>
        <w:t>Таким образом, установлено, что большинство сотрудников (73,3%) воспринимают служебные трудности как фактор профессионального развития, однако наличие группы респондентов с неопределённой и отрицательной позицией свидетельствует о необходимости дальнейшего развития психологической готовности и стрессоустойчивости военнослужащих СОБР Департамента полиции Северо-Казахстанской области</w:t>
      </w:r>
    </w:p>
    <w:p w14:paraId="44E141AD" w14:textId="77777777" w:rsidR="005C7C80" w:rsidRDefault="005C7C80" w:rsidP="00C349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4CCEC43" w14:textId="098EC326" w:rsidR="00C3492A" w:rsidRDefault="00C3492A" w:rsidP="00C3492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C3492A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Список литературы</w:t>
      </w:r>
    </w:p>
    <w:p w14:paraId="11689BB6" w14:textId="77777777" w:rsidR="00A956C5" w:rsidRDefault="00A956C5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3D0999F2" w14:textId="48AECFB0" w:rsidR="00A956C5" w:rsidRDefault="00A956C5" w:rsidP="00A956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1. </w:t>
      </w:r>
      <w:r w:rsidRPr="00A956C5">
        <w:rPr>
          <w:rFonts w:ascii="Times New Roman" w:eastAsia="Aptos" w:hAnsi="Times New Roman" w:cs="Times New Roman"/>
          <w:sz w:val="28"/>
          <w:szCs w:val="28"/>
        </w:rPr>
        <w:t>Рубинштейн С. Л. Основы общей психологии. — СПб.: Питер, 2002. — 7</w:t>
      </w:r>
      <w:r>
        <w:rPr>
          <w:rFonts w:ascii="Times New Roman" w:eastAsia="Aptos" w:hAnsi="Times New Roman" w:cs="Times New Roman"/>
          <w:sz w:val="28"/>
          <w:szCs w:val="28"/>
        </w:rPr>
        <w:t>13</w:t>
      </w:r>
      <w:r w:rsidRPr="00A956C5">
        <w:rPr>
          <w:rFonts w:ascii="Times New Roman" w:eastAsia="Aptos" w:hAnsi="Times New Roman" w:cs="Times New Roman"/>
          <w:sz w:val="28"/>
          <w:szCs w:val="28"/>
        </w:rPr>
        <w:t xml:space="preserve"> с.</w:t>
      </w:r>
      <w:r w:rsidRPr="00A956C5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 </w:t>
      </w:r>
    </w:p>
    <w:p w14:paraId="30F250E3" w14:textId="7E8390AB" w:rsidR="00E5679B" w:rsidRDefault="00E5679B" w:rsidP="00A956C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2. </w:t>
      </w:r>
      <w:r w:rsidRPr="00E5679B"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>А. Н. Леонтьев. Деятельность. Сознание. Личность. — М. : Политиздат, 1975. — 304 с.</w:t>
      </w:r>
    </w:p>
    <w:p w14:paraId="0CE7856E" w14:textId="54AB951E" w:rsidR="00A956C5" w:rsidRPr="00A956C5" w:rsidRDefault="00E5679B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:szCs w:val="22"/>
          <w14:ligatures w14:val="none"/>
        </w:rPr>
        <w:t xml:space="preserve">3. </w:t>
      </w:r>
      <w:r w:rsidR="00A956C5" w:rsidRPr="00A956C5">
        <w:rPr>
          <w:rFonts w:ascii="Times New Roman" w:eastAsia="Aptos" w:hAnsi="Times New Roman" w:cs="Times New Roman"/>
          <w:sz w:val="28"/>
          <w:szCs w:val="28"/>
        </w:rPr>
        <w:t>Ананьев Б. Г. Человек как предмет познания. — Л.: Изд-во Ленингр. ун-та, 1968. — 339 с.</w:t>
      </w:r>
    </w:p>
    <w:p w14:paraId="563CE514" w14:textId="1C07AADF" w:rsidR="00A956C5" w:rsidRPr="00A956C5" w:rsidRDefault="00E5679B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4. </w:t>
      </w:r>
      <w:r w:rsidR="00A956C5" w:rsidRPr="00A956C5">
        <w:rPr>
          <w:rFonts w:ascii="Times New Roman" w:eastAsia="Aptos" w:hAnsi="Times New Roman" w:cs="Times New Roman"/>
          <w:sz w:val="28"/>
          <w:szCs w:val="28"/>
        </w:rPr>
        <w:t>Селье Г. Стресс без дистресса. — М.: Прогресс, 1979. — 123 с.</w:t>
      </w:r>
    </w:p>
    <w:p w14:paraId="792D1FD5" w14:textId="2EAD9704" w:rsidR="00A956C5" w:rsidRPr="00A956C5" w:rsidRDefault="00E5679B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  <w:lang w:val="en-US"/>
        </w:rPr>
      </w:pPr>
      <w:r w:rsidRPr="00E5679B">
        <w:rPr>
          <w:rFonts w:ascii="Times New Roman" w:eastAsia="Aptos" w:hAnsi="Times New Roman" w:cs="Times New Roman"/>
          <w:sz w:val="28"/>
          <w:szCs w:val="28"/>
          <w:lang w:val="en-US"/>
        </w:rPr>
        <w:t xml:space="preserve">5. </w:t>
      </w:r>
      <w:r w:rsidR="00A956C5" w:rsidRPr="00A956C5">
        <w:rPr>
          <w:rFonts w:ascii="Times New Roman" w:eastAsia="Aptos" w:hAnsi="Times New Roman" w:cs="Times New Roman"/>
          <w:sz w:val="28"/>
          <w:szCs w:val="28"/>
          <w:lang w:val="en-US"/>
        </w:rPr>
        <w:t>Lazarus R. S., Folkman S. Stress, Appraisal, and Coping. — New York: Springer, 1984. — 456 p.</w:t>
      </w:r>
    </w:p>
    <w:p w14:paraId="532B19FA" w14:textId="56DE5185" w:rsidR="00A956C5" w:rsidRPr="00A956C5" w:rsidRDefault="00E5679B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  <w:lang w:val="en-US"/>
        </w:rPr>
      </w:pPr>
      <w:r w:rsidRPr="00E5679B">
        <w:rPr>
          <w:rFonts w:ascii="Times New Roman" w:eastAsia="Aptos" w:hAnsi="Times New Roman" w:cs="Times New Roman"/>
          <w:sz w:val="28"/>
          <w:szCs w:val="28"/>
          <w:lang w:val="en-US"/>
        </w:rPr>
        <w:t xml:space="preserve">6. </w:t>
      </w:r>
      <w:r w:rsidR="00A956C5" w:rsidRPr="00A956C5">
        <w:rPr>
          <w:rFonts w:ascii="Times New Roman" w:eastAsia="Aptos" w:hAnsi="Times New Roman" w:cs="Times New Roman"/>
          <w:sz w:val="28"/>
          <w:szCs w:val="28"/>
          <w:lang w:val="en-US"/>
        </w:rPr>
        <w:t>Kobasa S. C. Stressful life events, personality, and health // Journal of Personality and Social Psychology. — 1979. — Vol. 37. — P. 1–11.</w:t>
      </w:r>
    </w:p>
    <w:p w14:paraId="37905F5E" w14:textId="1B8511FC" w:rsidR="00A956C5" w:rsidRPr="00A956C5" w:rsidRDefault="00E5679B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7. </w:t>
      </w:r>
      <w:r w:rsidR="00A956C5" w:rsidRPr="00A956C5">
        <w:rPr>
          <w:rFonts w:ascii="Times New Roman" w:eastAsia="Aptos" w:hAnsi="Times New Roman" w:cs="Times New Roman"/>
          <w:sz w:val="28"/>
          <w:szCs w:val="28"/>
        </w:rPr>
        <w:t xml:space="preserve"> К. К. </w:t>
      </w:r>
      <w:r>
        <w:rPr>
          <w:rFonts w:ascii="Times New Roman" w:eastAsia="Aptos" w:hAnsi="Times New Roman" w:cs="Times New Roman"/>
          <w:sz w:val="28"/>
          <w:szCs w:val="28"/>
        </w:rPr>
        <w:t xml:space="preserve"> Платонов </w:t>
      </w:r>
      <w:r w:rsidR="00A956C5" w:rsidRPr="00A956C5">
        <w:rPr>
          <w:rFonts w:ascii="Times New Roman" w:eastAsia="Aptos" w:hAnsi="Times New Roman" w:cs="Times New Roman"/>
          <w:sz w:val="28"/>
          <w:szCs w:val="28"/>
        </w:rPr>
        <w:t>Структура и развитие личности. — М.: Наука, 1986. — 256 с.</w:t>
      </w:r>
    </w:p>
    <w:p w14:paraId="38A760EE" w14:textId="25E0D384" w:rsidR="00A956C5" w:rsidRPr="00A956C5" w:rsidRDefault="0096516D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8. </w:t>
      </w:r>
      <w:r w:rsidR="00A956C5" w:rsidRPr="00A956C5">
        <w:rPr>
          <w:rFonts w:ascii="Times New Roman" w:eastAsia="Aptos" w:hAnsi="Times New Roman" w:cs="Times New Roman"/>
          <w:sz w:val="28"/>
          <w:szCs w:val="28"/>
        </w:rPr>
        <w:t>Бодров В. А. Психология профессиональной пригодности. — М.: ПЕР СЭ, 2001. — 511 с.</w:t>
      </w:r>
    </w:p>
    <w:p w14:paraId="083E64C1" w14:textId="7C00614B" w:rsidR="00A956C5" w:rsidRPr="00A956C5" w:rsidRDefault="0096516D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9. </w:t>
      </w:r>
      <w:r w:rsidR="00A956C5" w:rsidRPr="00A956C5">
        <w:rPr>
          <w:rFonts w:ascii="Times New Roman" w:eastAsia="Aptos" w:hAnsi="Times New Roman" w:cs="Times New Roman"/>
          <w:sz w:val="28"/>
          <w:szCs w:val="28"/>
        </w:rPr>
        <w:t>Дьяченко М. И., Кандыбович Л. А. Психология высшей школы. — Минск: Вышэйшая школа, 1981. — 383 с.</w:t>
      </w:r>
    </w:p>
    <w:p w14:paraId="5CABEEDE" w14:textId="337914A8" w:rsidR="00A956C5" w:rsidRPr="00A956C5" w:rsidRDefault="0096516D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10.  </w:t>
      </w:r>
      <w:r w:rsidR="00A956C5" w:rsidRPr="00A956C5">
        <w:rPr>
          <w:rFonts w:ascii="Times New Roman" w:eastAsia="Aptos" w:hAnsi="Times New Roman" w:cs="Times New Roman"/>
          <w:sz w:val="28"/>
          <w:szCs w:val="28"/>
        </w:rPr>
        <w:t>Моросанова В. И. Саморегуляция и индивидуальность человека. — М.: Наука, 2010. — 519 с.</w:t>
      </w:r>
    </w:p>
    <w:p w14:paraId="4AF7A1AD" w14:textId="1DBF2DF0" w:rsidR="00A956C5" w:rsidRPr="00A956C5" w:rsidRDefault="0096516D" w:rsidP="00A956C5">
      <w:pPr>
        <w:spacing w:after="0" w:line="240" w:lineRule="auto"/>
        <w:ind w:firstLine="567"/>
        <w:jc w:val="both"/>
        <w:rPr>
          <w:rFonts w:ascii="Times New Roman" w:eastAsia="Aptos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11. </w:t>
      </w:r>
      <w:r w:rsidR="00A956C5" w:rsidRPr="00A956C5">
        <w:rPr>
          <w:rFonts w:ascii="Times New Roman" w:eastAsia="Aptos" w:hAnsi="Times New Roman" w:cs="Times New Roman"/>
          <w:sz w:val="28"/>
          <w:szCs w:val="28"/>
        </w:rPr>
        <w:t>О правоохранительной службе: Закон Республики Казахстан от 6 января 2011 г. № 380-IV (с изм. и доп.).</w:t>
      </w:r>
    </w:p>
    <w:p w14:paraId="14AA8DAA" w14:textId="0879A0A9" w:rsidR="008E69D6" w:rsidRPr="004D4A17" w:rsidRDefault="0096516D" w:rsidP="004D4A1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Aptos" w:hAnsi="Times New Roman" w:cs="Times New Roman"/>
          <w:sz w:val="28"/>
          <w:szCs w:val="28"/>
        </w:rPr>
        <w:t xml:space="preserve">12. </w:t>
      </w:r>
      <w:r w:rsidR="00A956C5" w:rsidRPr="00A956C5">
        <w:rPr>
          <w:rFonts w:ascii="Times New Roman" w:eastAsia="Aptos" w:hAnsi="Times New Roman" w:cs="Times New Roman"/>
          <w:sz w:val="28"/>
          <w:szCs w:val="28"/>
        </w:rPr>
        <w:t>Об утверждении Типового положения о специальном отряде быстрого реагирования: Приказ Министра внутренних дел Республики Казахстан от 29 июля 2014 г. № 478.</w:t>
      </w:r>
    </w:p>
    <w:sectPr w:rsidR="008E69D6" w:rsidRPr="004D4A17" w:rsidSect="00D43E2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9D6"/>
    <w:rsid w:val="000450B7"/>
    <w:rsid w:val="00087AFB"/>
    <w:rsid w:val="0010211B"/>
    <w:rsid w:val="00251246"/>
    <w:rsid w:val="00311253"/>
    <w:rsid w:val="00320815"/>
    <w:rsid w:val="00471196"/>
    <w:rsid w:val="004D4A17"/>
    <w:rsid w:val="005C7C80"/>
    <w:rsid w:val="008175C9"/>
    <w:rsid w:val="008E69D6"/>
    <w:rsid w:val="0096516D"/>
    <w:rsid w:val="00A956C5"/>
    <w:rsid w:val="00AE4EF9"/>
    <w:rsid w:val="00BC4C7E"/>
    <w:rsid w:val="00C3492A"/>
    <w:rsid w:val="00C57197"/>
    <w:rsid w:val="00D43E28"/>
    <w:rsid w:val="00E566D3"/>
    <w:rsid w:val="00E5679B"/>
    <w:rsid w:val="00F1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DC8EA"/>
  <w15:chartTrackingRefBased/>
  <w15:docId w15:val="{980C13EA-F79B-48B3-8209-7CF61B69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246"/>
  </w:style>
  <w:style w:type="paragraph" w:styleId="1">
    <w:name w:val="heading 1"/>
    <w:basedOn w:val="a"/>
    <w:next w:val="a"/>
    <w:link w:val="10"/>
    <w:uiPriority w:val="9"/>
    <w:qFormat/>
    <w:rsid w:val="008E69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69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69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69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69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69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69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69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69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69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E69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E69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E69D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69D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69D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E69D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E69D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E69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E69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E69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69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E69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E69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E69D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E69D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E69D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E69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E69D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E69D6"/>
    <w:rPr>
      <w:b/>
      <w:bCs/>
      <w:smallCaps/>
      <w:color w:val="0F4761" w:themeColor="accent1" w:themeShade="BF"/>
      <w:spacing w:val="5"/>
    </w:rPr>
  </w:style>
  <w:style w:type="character" w:styleId="ac">
    <w:name w:val="Strong"/>
    <w:basedOn w:val="a0"/>
    <w:uiPriority w:val="22"/>
    <w:qFormat/>
    <w:rsid w:val="00D43E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9</Pages>
  <Words>3078</Words>
  <Characters>17547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2026-04-29T14:46:00Z</dcterms:created>
  <dcterms:modified xsi:type="dcterms:W3CDTF">2026-05-20T10:25:00Z</dcterms:modified>
</cp:coreProperties>
</file>