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0" w:firstLine="0"/>
        <w:rPr>
          <w:rFonts w:ascii="Times New Roman" w:cs="Times New Roman" w:eastAsia="Times New Roman" w:hAnsi="Times New Roman"/>
          <w:sz w:val="24"/>
          <w:szCs w:val="24"/>
        </w:rPr>
      </w:pPr>
      <w:bookmarkStart w:colFirst="0" w:colLast="0" w:name="_y2sxzhlt76r0" w:id="0"/>
      <w:bookmarkEnd w:id="0"/>
      <w:r w:rsidDel="00000000" w:rsidR="00000000" w:rsidRPr="00000000">
        <w:rPr>
          <w:rFonts w:ascii="Times New Roman" w:cs="Times New Roman" w:eastAsia="Times New Roman" w:hAnsi="Times New Roman"/>
          <w:b w:val="1"/>
          <w:bCs w:val="1"/>
          <w:sz w:val="24"/>
          <w:szCs w:val="24"/>
          <w:rtl w:val="0"/>
        </w:rPr>
        <w:t xml:space="preserve">Developing Meaningful Student Reflection Through Lesson Study in MYP Language Acquisition Classes (Phase 3)</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5nte8s9r6lx"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plays an important role in individualized learning and student self-awareness in International Baccalaureate Middle Years Programme (MYP) Language Acquisition classrooms. However, many Grade 8 students at Phase 3 (Intermediate level) struggle to provide meaningful reflections beyond short emotional responses or simple descriptions of classroom activities. This article describes a lesson study conducted by teachers from the English and Russian departments to improve students’ reflective skills through structured support, digital tools, peer feedback, and collaborative learning strategies. The findings demonstrated that while students successfully developed stronger written reflection skills, oral reflection remained a significantly more challenging area. Consequently, future pedagogical interventions must be specifically redirected toward scaffolding real-time spoken reflection.</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reflection, lesson study, MYP, Language Acquisition, Phase 3, peer feedback, Grade 8, focus students, ATL skills, oral scaffolding.</w:t>
      </w:r>
    </w:p>
    <w:p w:rsidR="00000000" w:rsidDel="00000000" w:rsidP="00000000" w:rsidRDefault="00000000" w:rsidRPr="00000000" w14:paraId="00000005">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w25757jo0box" w:id="2"/>
      <w:bookmarkEnd w:id="2"/>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is considered an essential component of learning in the International Baccalaureate Middle Years Programme (MYP). According to the International Baccalaureate Organization (IBO, 2014), meaningful reflection allows students to evaluate their strengths, identify challenges, and become autonomous, lifelong learners. In the context of Grade 8 (adolescents aged 13–14) experiencing Phase 3 (Intermediate level) of Language Acquisition, developing reflection is both crucial and complex. At this stage, students possess a sufficient linguistic foundation to express basic opinions, but they often lack the specialized academic vocabulary required for critical self-analysis (Little, 2020). Consequently, without deliberate pedagogical intervention, they frequently fall back on surface-level responses such as “I liked the lesson” or “It was difficult” (Paragraph &amp; Finch, 2018).</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professional development goal for the academic year was:</w:t>
      </w:r>
    </w:p>
    <w:p w:rsidR="00000000" w:rsidDel="00000000" w:rsidP="00000000" w:rsidRDefault="00000000" w:rsidRPr="00000000" w14:paraId="00000008">
      <w:pPr>
        <w:spacing w:after="240" w:before="240" w:lineRule="auto"/>
        <w:ind w:left="600" w:right="6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enhance pedagogical practice by engaging students with meaningful reflections to support their individualized learning.</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this goal, a </w:t>
      </w:r>
      <w:r w:rsidDel="00000000" w:rsidR="00000000" w:rsidRPr="00000000">
        <w:rPr>
          <w:rFonts w:ascii="Times New Roman" w:cs="Times New Roman" w:eastAsia="Times New Roman" w:hAnsi="Times New Roman"/>
          <w:b w:val="1"/>
          <w:bCs w:val="1"/>
          <w:sz w:val="24"/>
          <w:szCs w:val="24"/>
          <w:rtl w:val="0"/>
        </w:rPr>
        <w:t xml:space="preserve">Lesson Study</w:t>
      </w:r>
      <w:r w:rsidDel="00000000" w:rsidR="00000000" w:rsidRPr="00000000">
        <w:rPr>
          <w:rFonts w:ascii="Times New Roman" w:cs="Times New Roman" w:eastAsia="Times New Roman" w:hAnsi="Times New Roman"/>
          <w:sz w:val="24"/>
          <w:szCs w:val="24"/>
          <w:rtl w:val="0"/>
        </w:rPr>
        <w:t xml:space="preserve">—a collaborative action research methodology originating from Japan (Lewis et al., 2006)—was conducted by a team of Language Acquisition teachers from the </w:t>
      </w:r>
      <w:r w:rsidDel="00000000" w:rsidR="00000000" w:rsidRPr="00000000">
        <w:rPr>
          <w:rFonts w:ascii="Times New Roman" w:cs="Times New Roman" w:eastAsia="Times New Roman" w:hAnsi="Times New Roman"/>
          <w:b w:val="1"/>
          <w:bCs w:val="1"/>
          <w:sz w:val="24"/>
          <w:szCs w:val="24"/>
          <w:rtl w:val="0"/>
        </w:rPr>
        <w:t xml:space="preserve">English and Russian language departments</w:t>
      </w:r>
      <w:r w:rsidDel="00000000" w:rsidR="00000000" w:rsidRPr="00000000">
        <w:rPr>
          <w:rFonts w:ascii="Times New Roman" w:cs="Times New Roman" w:eastAsia="Times New Roman" w:hAnsi="Times New Roman"/>
          <w:sz w:val="24"/>
          <w:szCs w:val="24"/>
          <w:rtl w:val="0"/>
        </w:rPr>
        <w:t xml:space="preserve">. Lesson Study has been widely recognized as an effective vehicle for professional growth and student-centered curriculum development (Dudley, 2014). The team focused on tracking the progress of the whole class, with special attention to </w:t>
      </w:r>
      <w:r w:rsidDel="00000000" w:rsidR="00000000" w:rsidRPr="00000000">
        <w:rPr>
          <w:rFonts w:ascii="Times New Roman" w:cs="Times New Roman" w:eastAsia="Times New Roman" w:hAnsi="Times New Roman"/>
          <w:b w:val="1"/>
          <w:bCs w:val="1"/>
          <w:sz w:val="24"/>
          <w:szCs w:val="24"/>
          <w:rtl w:val="0"/>
        </w:rPr>
        <w:t xml:space="preserve">three focus students (A, B, and C)</w:t>
      </w:r>
      <w:r w:rsidDel="00000000" w:rsidR="00000000" w:rsidRPr="00000000">
        <w:rPr>
          <w:rFonts w:ascii="Times New Roman" w:cs="Times New Roman" w:eastAsia="Times New Roman" w:hAnsi="Times New Roman"/>
          <w:sz w:val="24"/>
          <w:szCs w:val="24"/>
          <w:rtl w:val="0"/>
        </w:rPr>
        <w:t xml:space="preserve"> representing different learning profiles and levels of autonomy within Phase 3. The study investigated how different reflective strategies could support students in developing deeper, more analytical reflections and improving their Approaches to Learning (ATL) skills, specifically </w:t>
      </w:r>
      <w:r w:rsidDel="00000000" w:rsidR="00000000" w:rsidRPr="00000000">
        <w:rPr>
          <w:rFonts w:ascii="Times New Roman" w:cs="Times New Roman" w:eastAsia="Times New Roman" w:hAnsi="Times New Roman"/>
          <w:i w:val="1"/>
          <w:iCs w:val="1"/>
          <w:sz w:val="24"/>
          <w:szCs w:val="24"/>
          <w:rtl w:val="0"/>
        </w:rPr>
        <w:t xml:space="preserve">Thinking</w:t>
      </w:r>
      <w:r w:rsidDel="00000000" w:rsidR="00000000" w:rsidRPr="00000000">
        <w:rPr>
          <w:rFonts w:ascii="Times New Roman" w:cs="Times New Roman" w:eastAsia="Times New Roman" w:hAnsi="Times New Roman"/>
          <w:sz w:val="24"/>
          <w:szCs w:val="24"/>
          <w:rtl w:val="0"/>
        </w:rPr>
        <w:t xml:space="preserve"> (critical thinking) and </w:t>
      </w:r>
      <w:r w:rsidDel="00000000" w:rsidR="00000000" w:rsidRPr="00000000">
        <w:rPr>
          <w:rFonts w:ascii="Times New Roman" w:cs="Times New Roman" w:eastAsia="Times New Roman" w:hAnsi="Times New Roman"/>
          <w:i w:val="1"/>
          <w:iCs w:val="1"/>
          <w:sz w:val="24"/>
          <w:szCs w:val="24"/>
          <w:rtl w:val="0"/>
        </w:rPr>
        <w:t xml:space="preserve">Self-management</w:t>
      </w:r>
      <w:r w:rsidDel="00000000" w:rsidR="00000000" w:rsidRPr="00000000">
        <w:rPr>
          <w:rFonts w:ascii="Times New Roman" w:cs="Times New Roman" w:eastAsia="Times New Roman" w:hAnsi="Times New Roman"/>
          <w:sz w:val="24"/>
          <w:szCs w:val="24"/>
          <w:rtl w:val="0"/>
        </w:rPr>
        <w:t xml:space="preserve"> (reflection).</w:t>
      </w:r>
    </w:p>
    <w:p w:rsidR="00000000" w:rsidDel="00000000" w:rsidP="00000000" w:rsidRDefault="00000000" w:rsidRPr="00000000" w14:paraId="0000000A">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m9lcbpj413si" w:id="3"/>
      <w:bookmarkEnd w:id="3"/>
      <w:r w:rsidDel="00000000" w:rsidR="00000000" w:rsidRPr="00000000">
        <w:rPr>
          <w:rFonts w:ascii="Times New Roman" w:cs="Times New Roman" w:eastAsia="Times New Roman" w:hAnsi="Times New Roman"/>
          <w:b w:val="1"/>
          <w:bCs w:val="1"/>
          <w:sz w:val="24"/>
          <w:szCs w:val="24"/>
          <w:rtl w:val="0"/>
        </w:rPr>
        <w:t xml:space="preserve">Methodology and Focus Students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Lesson Study framework established by Dudley (2014), the collaborative team jointly planned, observed, and analyzed a series of lessons. While one teacher conducted the lesson, the other members of the Lesson Study team (English and Russian language teachers) acted as observers, gathering data on how students responded to various reflection prompts in their respective target languages.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effectiveness of the interventions within the Phase 3 framework, three focus students from Grade 8 were selected based on the purposefully differentiated sampling recommended in Lesson Study literature:</w:t>
      </w:r>
    </w:p>
    <w:p w:rsidR="00000000" w:rsidDel="00000000" w:rsidP="00000000" w:rsidRDefault="00000000" w:rsidRPr="00000000" w14:paraId="0000000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A (High achiever / High autonomy):</w:t>
      </w:r>
      <w:r w:rsidDel="00000000" w:rsidR="00000000" w:rsidRPr="00000000">
        <w:rPr>
          <w:rFonts w:ascii="Times New Roman" w:cs="Times New Roman" w:eastAsia="Times New Roman" w:hAnsi="Times New Roman"/>
          <w:sz w:val="24"/>
          <w:szCs w:val="24"/>
          <w:rtl w:val="0"/>
        </w:rPr>
        <w:t xml:space="preserve"> Capable, performs language tasks easily and quickly, but initially struggled to structure reflections holistically.</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B (Capable / Low motivation):</w:t>
      </w:r>
      <w:r w:rsidDel="00000000" w:rsidR="00000000" w:rsidRPr="00000000">
        <w:rPr>
          <w:rFonts w:ascii="Times New Roman" w:cs="Times New Roman" w:eastAsia="Times New Roman" w:hAnsi="Times New Roman"/>
          <w:sz w:val="24"/>
          <w:szCs w:val="24"/>
          <w:rtl w:val="0"/>
        </w:rPr>
        <w:t xml:space="preserve"> Possesses the necessary Phase 3 language skills but exhibits laziness and passive behavior if not explicitly motivated.</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C (Low achiever / High support needed):</w:t>
      </w:r>
      <w:r w:rsidDel="00000000" w:rsidR="00000000" w:rsidRPr="00000000">
        <w:rPr>
          <w:rFonts w:ascii="Times New Roman" w:cs="Times New Roman" w:eastAsia="Times New Roman" w:hAnsi="Times New Roman"/>
          <w:sz w:val="24"/>
          <w:szCs w:val="24"/>
          <w:rtl w:val="0"/>
        </w:rPr>
        <w:t xml:space="preserve"> Encounters significant academic and language difficulties, performing at the lower boundary of Phase 3 and requiring constant scaffolding.</w:t>
      </w:r>
    </w:p>
    <w:p w:rsidR="00000000" w:rsidDel="00000000" w:rsidP="00000000" w:rsidRDefault="00000000" w:rsidRPr="00000000" w14:paraId="00000010">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fo28rwd1zm9s" w:id="4"/>
      <w:bookmarkEnd w:id="4"/>
      <w:r w:rsidDel="00000000" w:rsidR="00000000" w:rsidRPr="00000000">
        <w:rPr>
          <w:rFonts w:ascii="Times New Roman" w:cs="Times New Roman" w:eastAsia="Times New Roman" w:hAnsi="Times New Roman"/>
          <w:b w:val="1"/>
          <w:bCs w:val="1"/>
          <w:sz w:val="24"/>
          <w:szCs w:val="24"/>
          <w:rtl w:val="0"/>
        </w:rPr>
        <w:t xml:space="preserve">First Lesson Study Cycle</w:t>
      </w:r>
    </w:p>
    <w:p w:rsidR="00000000" w:rsidDel="00000000" w:rsidP="00000000" w:rsidRDefault="00000000" w:rsidRPr="00000000" w14:paraId="00000011">
      <w:pPr>
        <w:pStyle w:val="Heading3"/>
        <w:keepNext w:val="0"/>
        <w:keepLines w:val="0"/>
        <w:spacing w:before="280" w:lineRule="auto"/>
        <w:ind w:left="720"/>
        <w:rPr>
          <w:rFonts w:ascii="Times New Roman" w:cs="Times New Roman" w:eastAsia="Times New Roman" w:hAnsi="Times New Roman"/>
          <w:b w:val="1"/>
          <w:bCs w:val="1"/>
          <w:color w:val="000000"/>
          <w:sz w:val="24"/>
          <w:szCs w:val="24"/>
        </w:rPr>
      </w:pPr>
      <w:bookmarkStart w:colFirst="0" w:colLast="0" w:name="_cq5coe3v4v1r" w:id="5"/>
      <w:bookmarkEnd w:id="5"/>
      <w:r w:rsidDel="00000000" w:rsidR="00000000" w:rsidRPr="00000000">
        <w:rPr>
          <w:rFonts w:ascii="Times New Roman" w:cs="Times New Roman" w:eastAsia="Times New Roman" w:hAnsi="Times New Roman"/>
          <w:b w:val="1"/>
          <w:bCs w:val="1"/>
          <w:color w:val="000000"/>
          <w:sz w:val="24"/>
          <w:szCs w:val="24"/>
          <w:rtl w:val="0"/>
        </w:rPr>
        <w:t xml:space="preserve">Lesson 1: Initial Reflection Activity</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first lesson, students were asked to reflect on their learning using traditional sticky notes. The activity aimed to identify the students' baseline ability to express thoughts about their learning experience without external prompts, using their Phase 3 vocabulary.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baseline quantitative data collected during this initial phase revealed critical gaps in students' reflective practices (see Figure 1).</w:t>
      </w:r>
    </w:p>
    <w:p w:rsidR="00000000" w:rsidDel="00000000" w:rsidP="00000000" w:rsidRDefault="00000000" w:rsidRPr="00000000" w14:paraId="00000014">
      <w:pPr>
        <w:pStyle w:val="Heading4"/>
        <w:keepNext w:val="0"/>
        <w:keepLines w:val="0"/>
        <w:spacing w:after="40" w:before="240" w:lineRule="auto"/>
        <w:ind w:left="720"/>
        <w:rPr>
          <w:rFonts w:ascii="Times New Roman" w:cs="Times New Roman" w:eastAsia="Times New Roman" w:hAnsi="Times New Roman"/>
          <w:b w:val="1"/>
          <w:bCs w:val="1"/>
          <w:color w:val="000000"/>
        </w:rPr>
      </w:pPr>
      <w:bookmarkStart w:colFirst="0" w:colLast="0" w:name="_lbe58cx0tl59" w:id="6"/>
      <w:bookmarkEnd w:id="6"/>
      <w:r w:rsidDel="00000000" w:rsidR="00000000" w:rsidRPr="00000000">
        <w:rPr>
          <w:rFonts w:ascii="Times New Roman" w:cs="Times New Roman" w:eastAsia="Times New Roman" w:hAnsi="Times New Roman"/>
          <w:b w:val="1"/>
          <w:bCs w:val="1"/>
          <w:color w:val="000000"/>
          <w:rtl w:val="0"/>
        </w:rPr>
        <w:t xml:space="preserve">Figure 1: Student Reflection Responses in Lesson 1</w:t>
      </w:r>
    </w:p>
    <w:p w:rsidR="00000000" w:rsidDel="00000000" w:rsidP="00000000" w:rsidRDefault="00000000" w:rsidRPr="00000000" w14:paraId="00000015">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(Pie chart data analysis: Did Not Answer – 64.3%; Partially Answered – 14.3%; Random/Irrelevant Answer – 14.3%; Fully Answered – 7.1%)</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illustrated in Figure 1, an overwhelming majority of the Grade 8 Phase 3 students struggled with independent reflection:</w:t>
      </w:r>
    </w:p>
    <w:p w:rsidR="00000000" w:rsidDel="00000000" w:rsidP="00000000" w:rsidRDefault="00000000" w:rsidRPr="00000000" w14:paraId="00000017">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64.3% of students (Did Not Answer):</w:t>
      </w:r>
      <w:r w:rsidDel="00000000" w:rsidR="00000000" w:rsidRPr="00000000">
        <w:rPr>
          <w:rFonts w:ascii="Times New Roman" w:cs="Times New Roman" w:eastAsia="Times New Roman" w:hAnsi="Times New Roman"/>
          <w:sz w:val="24"/>
          <w:szCs w:val="24"/>
          <w:rtl w:val="0"/>
        </w:rPr>
        <w:t xml:space="preserve"> Represented the largest group, including </w:t>
      </w:r>
      <w:r w:rsidDel="00000000" w:rsidR="00000000" w:rsidRPr="00000000">
        <w:rPr>
          <w:rFonts w:ascii="Times New Roman" w:cs="Times New Roman" w:eastAsia="Times New Roman" w:hAnsi="Times New Roman"/>
          <w:b w:val="1"/>
          <w:bCs w:val="1"/>
          <w:sz w:val="24"/>
          <w:szCs w:val="24"/>
          <w:rtl w:val="0"/>
        </w:rPr>
        <w:t xml:space="preserve">Student C</w:t>
      </w:r>
      <w:r w:rsidDel="00000000" w:rsidR="00000000" w:rsidRPr="00000000">
        <w:rPr>
          <w:rFonts w:ascii="Times New Roman" w:cs="Times New Roman" w:eastAsia="Times New Roman" w:hAnsi="Times New Roman"/>
          <w:sz w:val="24"/>
          <w:szCs w:val="24"/>
          <w:rtl w:val="0"/>
        </w:rPr>
        <w:t xml:space="preserve">, who left the reflection blank due to an acute lack of functional vocabulary and a total misunderstanding of how to analyze their own errors.</w:t>
      </w:r>
    </w:p>
    <w:p w:rsidR="00000000" w:rsidDel="00000000" w:rsidP="00000000" w:rsidRDefault="00000000" w:rsidRPr="00000000" w14:paraId="00000018">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14.3% of students (Random/Irrelevant Answer):</w:t>
      </w:r>
      <w:r w:rsidDel="00000000" w:rsidR="00000000" w:rsidRPr="00000000">
        <w:rPr>
          <w:rFonts w:ascii="Times New Roman" w:cs="Times New Roman" w:eastAsia="Times New Roman" w:hAnsi="Times New Roman"/>
          <w:sz w:val="24"/>
          <w:szCs w:val="24"/>
          <w:rtl w:val="0"/>
        </w:rPr>
        <w:t xml:space="preserve"> Provided surface-level or off-topic phrases like </w:t>
      </w:r>
      <w:r w:rsidDel="00000000" w:rsidR="00000000" w:rsidRPr="00000000">
        <w:rPr>
          <w:rFonts w:ascii="Times New Roman" w:cs="Times New Roman" w:eastAsia="Times New Roman" w:hAnsi="Times New Roman"/>
          <w:i w:val="1"/>
          <w:iCs w:val="1"/>
          <w:sz w:val="24"/>
          <w:szCs w:val="24"/>
          <w:rtl w:val="0"/>
        </w:rPr>
        <w:t xml:space="preserve">"It's okay"</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"I like the room,"</w:t>
      </w:r>
      <w:r w:rsidDel="00000000" w:rsidR="00000000" w:rsidRPr="00000000">
        <w:rPr>
          <w:rFonts w:ascii="Times New Roman" w:cs="Times New Roman" w:eastAsia="Times New Roman" w:hAnsi="Times New Roman"/>
          <w:sz w:val="24"/>
          <w:szCs w:val="24"/>
          <w:rtl w:val="0"/>
        </w:rPr>
        <w:t xml:space="preserve"> characteristic of </w:t>
      </w:r>
      <w:r w:rsidDel="00000000" w:rsidR="00000000" w:rsidRPr="00000000">
        <w:rPr>
          <w:rFonts w:ascii="Times New Roman" w:cs="Times New Roman" w:eastAsia="Times New Roman" w:hAnsi="Times New Roman"/>
          <w:b w:val="1"/>
          <w:bCs w:val="1"/>
          <w:sz w:val="24"/>
          <w:szCs w:val="24"/>
          <w:rtl w:val="0"/>
        </w:rPr>
        <w:t xml:space="preserve">Student B’s</w:t>
      </w:r>
      <w:r w:rsidDel="00000000" w:rsidR="00000000" w:rsidRPr="00000000">
        <w:rPr>
          <w:rFonts w:ascii="Times New Roman" w:cs="Times New Roman" w:eastAsia="Times New Roman" w:hAnsi="Times New Roman"/>
          <w:sz w:val="24"/>
          <w:szCs w:val="24"/>
          <w:rtl w:val="0"/>
        </w:rPr>
        <w:t xml:space="preserve"> initial low motivation and reluctant attitude.</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14.3% of students (Partially Answered):</w:t>
      </w:r>
      <w:r w:rsidDel="00000000" w:rsidR="00000000" w:rsidRPr="00000000">
        <w:rPr>
          <w:rFonts w:ascii="Times New Roman" w:cs="Times New Roman" w:eastAsia="Times New Roman" w:hAnsi="Times New Roman"/>
          <w:sz w:val="24"/>
          <w:szCs w:val="24"/>
          <w:rtl w:val="0"/>
        </w:rPr>
        <w:t xml:space="preserve"> Attempted to write a response but could not connect their language experience to academic criteria.</w:t>
      </w:r>
    </w:p>
    <w:p w:rsidR="00000000" w:rsidDel="00000000" w:rsidP="00000000" w:rsidRDefault="00000000" w:rsidRPr="00000000" w14:paraId="0000001A">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Only 7.1% of students (Fully Answered):</w:t>
      </w:r>
      <w:r w:rsidDel="00000000" w:rsidR="00000000" w:rsidRPr="00000000">
        <w:rPr>
          <w:rFonts w:ascii="Times New Roman" w:cs="Times New Roman" w:eastAsia="Times New Roman" w:hAnsi="Times New Roman"/>
          <w:sz w:val="24"/>
          <w:szCs w:val="24"/>
          <w:rtl w:val="0"/>
        </w:rPr>
        <w:t xml:space="preserve"> Managed to provide a meaningful reflection. However, even within this small group (including </w:t>
      </w:r>
      <w:r w:rsidDel="00000000" w:rsidR="00000000" w:rsidRPr="00000000">
        <w:rPr>
          <w:rFonts w:ascii="Times New Roman" w:cs="Times New Roman" w:eastAsia="Times New Roman" w:hAnsi="Times New Roman"/>
          <w:b w:val="1"/>
          <w:bCs w:val="1"/>
          <w:sz w:val="24"/>
          <w:szCs w:val="24"/>
          <w:rtl w:val="0"/>
        </w:rPr>
        <w:t xml:space="preserve">Student A</w:t>
      </w:r>
      <w:r w:rsidDel="00000000" w:rsidR="00000000" w:rsidRPr="00000000">
        <w:rPr>
          <w:rFonts w:ascii="Times New Roman" w:cs="Times New Roman" w:eastAsia="Times New Roman" w:hAnsi="Times New Roman"/>
          <w:sz w:val="24"/>
          <w:szCs w:val="24"/>
          <w:rtl w:val="0"/>
        </w:rPr>
        <w:t xml:space="preserve">), the observation team noted that the responses were fragmented and lacked a holistic, process-oriented view of learning.</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baseline analysis clearly demonstrated that most Grade 8 Phase 3 students remained purely descriptive or completely passive. This quantitative reality confirmed that metacognitive strategies do not emerge automatically (Hattie, 2012) and served as the catalyst for introducing structured pedagogical interventions in the subsequent lesson.</w:t>
      </w:r>
    </w:p>
    <w:p w:rsidR="00000000" w:rsidDel="00000000" w:rsidP="00000000" w:rsidRDefault="00000000" w:rsidRPr="00000000" w14:paraId="0000001C">
      <w:pPr>
        <w:pStyle w:val="Heading3"/>
        <w:keepNext w:val="0"/>
        <w:keepLines w:val="0"/>
        <w:spacing w:before="280" w:lineRule="auto"/>
        <w:ind w:left="720"/>
        <w:rPr>
          <w:rFonts w:ascii="Times New Roman" w:cs="Times New Roman" w:eastAsia="Times New Roman" w:hAnsi="Times New Roman"/>
          <w:b w:val="1"/>
          <w:bCs w:val="1"/>
          <w:color w:val="000000"/>
          <w:sz w:val="24"/>
          <w:szCs w:val="24"/>
        </w:rPr>
      </w:pPr>
      <w:bookmarkStart w:colFirst="0" w:colLast="0" w:name="_c34bzikfflqt" w:id="7"/>
      <w:bookmarkEnd w:id="7"/>
      <w:r w:rsidDel="00000000" w:rsidR="00000000" w:rsidRPr="00000000">
        <w:rPr>
          <w:rFonts w:ascii="Times New Roman" w:cs="Times New Roman" w:eastAsia="Times New Roman" w:hAnsi="Times New Roman"/>
          <w:b w:val="1"/>
          <w:bCs w:val="1"/>
          <w:color w:val="000000"/>
          <w:sz w:val="24"/>
          <w:szCs w:val="24"/>
          <w:rtl w:val="0"/>
        </w:rPr>
        <w:t xml:space="preserve">Lesson 2: Guided Reflection with Scaffolding</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the team introduced explicit structural support tailored to Phase 3 expectations. The teacher modeled reflective language and provided </w:t>
      </w:r>
      <w:r w:rsidDel="00000000" w:rsidR="00000000" w:rsidRPr="00000000">
        <w:rPr>
          <w:rFonts w:ascii="Times New Roman" w:cs="Times New Roman" w:eastAsia="Times New Roman" w:hAnsi="Times New Roman"/>
          <w:b w:val="1"/>
          <w:bCs w:val="1"/>
          <w:sz w:val="24"/>
          <w:szCs w:val="24"/>
          <w:rtl w:val="0"/>
        </w:rPr>
        <w:t xml:space="preserve">sentence starters</w:t>
      </w:r>
      <w:r w:rsidDel="00000000" w:rsidR="00000000" w:rsidRPr="00000000">
        <w:rPr>
          <w:rFonts w:ascii="Times New Roman" w:cs="Times New Roman" w:eastAsia="Times New Roman" w:hAnsi="Times New Roman"/>
          <w:sz w:val="24"/>
          <w:szCs w:val="24"/>
          <w:rtl w:val="0"/>
        </w:rPr>
        <w:t xml:space="preserve"> targeting intermediate conceptual thinking (e.g., </w:t>
      </w:r>
      <w:r w:rsidDel="00000000" w:rsidR="00000000" w:rsidRPr="00000000">
        <w:rPr>
          <w:rFonts w:ascii="Times New Roman" w:cs="Times New Roman" w:eastAsia="Times New Roman" w:hAnsi="Times New Roman"/>
          <w:i w:val="1"/>
          <w:iCs w:val="1"/>
          <w:sz w:val="24"/>
          <w:szCs w:val="24"/>
          <w:rtl w:val="0"/>
        </w:rPr>
        <w:t xml:space="preserve">"I found... challenging because..."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 successfully applied the rule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 improve my text cohesion, I need to..."</w:t>
      </w:r>
      <w:r w:rsidDel="00000000" w:rsidR="00000000" w:rsidRPr="00000000">
        <w:rPr>
          <w:rFonts w:ascii="Times New Roman" w:cs="Times New Roman" w:eastAsia="Times New Roman" w:hAnsi="Times New Roman"/>
          <w:sz w:val="24"/>
          <w:szCs w:val="24"/>
          <w:rtl w:val="0"/>
        </w:rPr>
        <w:t xml:space="preserve">). This scaffolding approach is deeply rooted in Vygotsky’s Zone of Proximal Development (ZPD) and its application to language learning (Gibbons, 2015).</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of these scaffolds led to immediate progress:</w:t>
      </w:r>
    </w:p>
    <w:p w:rsidR="00000000" w:rsidDel="00000000" w:rsidP="00000000" w:rsidRDefault="00000000" w:rsidRPr="00000000" w14:paraId="0000001F">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A</w:t>
      </w:r>
      <w:r w:rsidDel="00000000" w:rsidR="00000000" w:rsidRPr="00000000">
        <w:rPr>
          <w:rFonts w:ascii="Times New Roman" w:cs="Times New Roman" w:eastAsia="Times New Roman" w:hAnsi="Times New Roman"/>
          <w:sz w:val="24"/>
          <w:szCs w:val="24"/>
          <w:rtl w:val="0"/>
        </w:rPr>
        <w:t xml:space="preserve"> successfully utilized the templates to construct a comprehensive, holistic paragraph analyzing both linguistic successes and structural gaps.</w:t>
      </w:r>
    </w:p>
    <w:p w:rsidR="00000000" w:rsidDel="00000000" w:rsidP="00000000" w:rsidRDefault="00000000" w:rsidRPr="00000000" w14:paraId="00000020">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B</w:t>
      </w:r>
      <w:r w:rsidDel="00000000" w:rsidR="00000000" w:rsidRPr="00000000">
        <w:rPr>
          <w:rFonts w:ascii="Times New Roman" w:cs="Times New Roman" w:eastAsia="Times New Roman" w:hAnsi="Times New Roman"/>
          <w:sz w:val="24"/>
          <w:szCs w:val="24"/>
          <w:rtl w:val="0"/>
        </w:rPr>
        <w:t xml:space="preserve">, guided by the clear structure, overcame their passivity and filled out the reflection template, showing better engagement and more appropriate language depth.</w:t>
      </w:r>
    </w:p>
    <w:p w:rsidR="00000000" w:rsidDel="00000000" w:rsidP="00000000" w:rsidRDefault="00000000" w:rsidRPr="00000000" w14:paraId="00000021">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C</w:t>
      </w:r>
      <w:r w:rsidDel="00000000" w:rsidR="00000000" w:rsidRPr="00000000">
        <w:rPr>
          <w:rFonts w:ascii="Times New Roman" w:cs="Times New Roman" w:eastAsia="Times New Roman" w:hAnsi="Times New Roman"/>
          <w:sz w:val="24"/>
          <w:szCs w:val="24"/>
          <w:rtl w:val="0"/>
        </w:rPr>
        <w:t xml:space="preserve"> was able to produce one complete, meaningful sentence using the starters, which was a positive step forward from the previous blank note.</w:t>
      </w:r>
    </w:p>
    <w:p w:rsidR="00000000" w:rsidDel="00000000" w:rsidP="00000000" w:rsidRDefault="00000000" w:rsidRPr="00000000" w14:paraId="00000022">
      <w:pPr>
        <w:pStyle w:val="Heading3"/>
        <w:keepNext w:val="0"/>
        <w:keepLines w:val="0"/>
        <w:spacing w:before="280" w:lineRule="auto"/>
        <w:ind w:left="720"/>
        <w:rPr>
          <w:rFonts w:ascii="Times New Roman" w:cs="Times New Roman" w:eastAsia="Times New Roman" w:hAnsi="Times New Roman"/>
          <w:b w:val="1"/>
          <w:bCs w:val="1"/>
          <w:color w:val="000000"/>
          <w:sz w:val="24"/>
          <w:szCs w:val="24"/>
        </w:rPr>
      </w:pPr>
      <w:bookmarkStart w:colFirst="0" w:colLast="0" w:name="_lqcgn6fm58ly" w:id="8"/>
      <w:bookmarkEnd w:id="8"/>
      <w:r w:rsidDel="00000000" w:rsidR="00000000" w:rsidRPr="00000000">
        <w:rPr>
          <w:rFonts w:ascii="Times New Roman" w:cs="Times New Roman" w:eastAsia="Times New Roman" w:hAnsi="Times New Roman"/>
          <w:b w:val="1"/>
          <w:bCs w:val="1"/>
          <w:color w:val="000000"/>
          <w:sz w:val="24"/>
          <w:szCs w:val="24"/>
          <w:rtl w:val="0"/>
        </w:rPr>
        <w:t xml:space="preserve">Lesson 3: Digital Reflection Through Padlet</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third lesson, students used </w:t>
      </w:r>
      <w:r w:rsidDel="00000000" w:rsidR="00000000" w:rsidRPr="00000000">
        <w:rPr>
          <w:rFonts w:ascii="Times New Roman" w:cs="Times New Roman" w:eastAsia="Times New Roman" w:hAnsi="Times New Roman"/>
          <w:b w:val="1"/>
          <w:bCs w:val="1"/>
          <w:sz w:val="24"/>
          <w:szCs w:val="24"/>
          <w:rtl w:val="0"/>
        </w:rPr>
        <w:t xml:space="preserve">Padlet</w:t>
      </w:r>
      <w:r w:rsidDel="00000000" w:rsidR="00000000" w:rsidRPr="00000000">
        <w:rPr>
          <w:rFonts w:ascii="Times New Roman" w:cs="Times New Roman" w:eastAsia="Times New Roman" w:hAnsi="Times New Roman"/>
          <w:sz w:val="24"/>
          <w:szCs w:val="24"/>
          <w:rtl w:val="0"/>
        </w:rPr>
        <w:t xml:space="preserve"> to submit their reflections digitally to increase engagement and promote peer visibility.</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observers noted that while the digital format was highly engaging for Grade 8 students, technology alone did not automatically solve deeper learning issues. </w:t>
      </w:r>
      <w:r w:rsidDel="00000000" w:rsidR="00000000" w:rsidRPr="00000000">
        <w:rPr>
          <w:rFonts w:ascii="Times New Roman" w:cs="Times New Roman" w:eastAsia="Times New Roman" w:hAnsi="Times New Roman"/>
          <w:b w:val="1"/>
          <w:bCs w:val="1"/>
          <w:sz w:val="24"/>
          <w:szCs w:val="24"/>
          <w:rtl w:val="0"/>
        </w:rPr>
        <w:t xml:space="preserve">Student A</w:t>
      </w:r>
      <w:r w:rsidDel="00000000" w:rsidR="00000000" w:rsidRPr="00000000">
        <w:rPr>
          <w:rFonts w:ascii="Times New Roman" w:cs="Times New Roman" w:eastAsia="Times New Roman" w:hAnsi="Times New Roman"/>
          <w:sz w:val="24"/>
          <w:szCs w:val="24"/>
          <w:rtl w:val="0"/>
        </w:rPr>
        <w:t xml:space="preserve"> adapted quickly, but </w:t>
      </w:r>
      <w:r w:rsidDel="00000000" w:rsidR="00000000" w:rsidRPr="00000000">
        <w:rPr>
          <w:rFonts w:ascii="Times New Roman" w:cs="Times New Roman" w:eastAsia="Times New Roman" w:hAnsi="Times New Roman"/>
          <w:b w:val="1"/>
          <w:bCs w:val="1"/>
          <w:sz w:val="24"/>
          <w:szCs w:val="24"/>
          <w:rtl w:val="0"/>
        </w:rPr>
        <w:t xml:space="preserve">Student B</w:t>
      </w:r>
      <w:r w:rsidDel="00000000" w:rsidR="00000000" w:rsidRPr="00000000">
        <w:rPr>
          <w:rFonts w:ascii="Times New Roman" w:cs="Times New Roman" w:eastAsia="Times New Roman" w:hAnsi="Times New Roman"/>
          <w:sz w:val="24"/>
          <w:szCs w:val="24"/>
          <w:rtl w:val="0"/>
        </w:rPr>
        <w:t xml:space="preserve"> used the digital platform to distract themselves, and </w:t>
      </w:r>
      <w:r w:rsidDel="00000000" w:rsidR="00000000" w:rsidRPr="00000000">
        <w:rPr>
          <w:rFonts w:ascii="Times New Roman" w:cs="Times New Roman" w:eastAsia="Times New Roman" w:hAnsi="Times New Roman"/>
          <w:b w:val="1"/>
          <w:bCs w:val="1"/>
          <w:sz w:val="24"/>
          <w:szCs w:val="24"/>
          <w:rtl w:val="0"/>
        </w:rPr>
        <w:t xml:space="preserve">Student C</w:t>
      </w:r>
      <w:r w:rsidDel="00000000" w:rsidR="00000000" w:rsidRPr="00000000">
        <w:rPr>
          <w:rFonts w:ascii="Times New Roman" w:cs="Times New Roman" w:eastAsia="Times New Roman" w:hAnsi="Times New Roman"/>
          <w:sz w:val="24"/>
          <w:szCs w:val="24"/>
          <w:rtl w:val="0"/>
        </w:rPr>
        <w:t xml:space="preserve"> felt overwhelmed by the open digital space without direct, physical teacher guidance. This observation supports the stance of Warschauer (2011) that digital tools in language education require the same, if not greater, level of pedagogical scaffolding as traditional methods.</w:t>
      </w:r>
    </w:p>
    <w:p w:rsidR="00000000" w:rsidDel="00000000" w:rsidP="00000000" w:rsidRDefault="00000000" w:rsidRPr="00000000" w14:paraId="00000025">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2bpnupa215p" w:id="9"/>
      <w:bookmarkEnd w:id="9"/>
      <w:r w:rsidDel="00000000" w:rsidR="00000000" w:rsidRPr="00000000">
        <w:rPr>
          <w:rFonts w:ascii="Times New Roman" w:cs="Times New Roman" w:eastAsia="Times New Roman" w:hAnsi="Times New Roman"/>
          <w:b w:val="1"/>
          <w:bCs w:val="1"/>
          <w:sz w:val="24"/>
          <w:szCs w:val="24"/>
          <w:rtl w:val="0"/>
        </w:rPr>
        <w:t xml:space="preserve">Second Lesson Study Cycle</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cycle, the focus shifted toward improving students’ academic writing skills before reflection activities were revisited, aligning with MYP Phase 3 criteria (</w:t>
      </w:r>
      <w:r w:rsidDel="00000000" w:rsidR="00000000" w:rsidRPr="00000000">
        <w:rPr>
          <w:rFonts w:ascii="Times New Roman" w:cs="Times New Roman" w:eastAsia="Times New Roman" w:hAnsi="Times New Roman"/>
          <w:i w:val="1"/>
          <w:iCs w:val="1"/>
          <w:sz w:val="24"/>
          <w:szCs w:val="24"/>
          <w:rtl w:val="0"/>
        </w:rPr>
        <w:t xml:space="preserve">Criterion C: Communicating</w:t>
      </w:r>
      <w:r w:rsidDel="00000000" w:rsidR="00000000" w:rsidRPr="00000000">
        <w:rPr>
          <w:rFonts w:ascii="Times New Roman" w:cs="Times New Roman" w:eastAsia="Times New Roman" w:hAnsi="Times New Roman"/>
          <w:sz w:val="24"/>
          <w:szCs w:val="24"/>
          <w:rtl w:val="0"/>
        </w:rPr>
        <w:t xml:space="preserve">). Students studied grammar structures, academic vocabulary, paragraph organization, and assessment criteria.</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a formative written assessment, students used Padlet not just for self-reflection, but for </w:t>
      </w:r>
      <w:r w:rsidDel="00000000" w:rsidR="00000000" w:rsidRPr="00000000">
        <w:rPr>
          <w:rFonts w:ascii="Times New Roman" w:cs="Times New Roman" w:eastAsia="Times New Roman" w:hAnsi="Times New Roman"/>
          <w:b w:val="1"/>
          <w:bCs w:val="1"/>
          <w:sz w:val="24"/>
          <w:szCs w:val="24"/>
          <w:rtl w:val="0"/>
        </w:rPr>
        <w:t xml:space="preserve">peer feedback </w:t>
      </w:r>
      <w:r w:rsidDel="00000000" w:rsidR="00000000" w:rsidRPr="00000000">
        <w:rPr>
          <w:rFonts w:ascii="Times New Roman" w:cs="Times New Roman" w:eastAsia="Times New Roman" w:hAnsi="Times New Roman"/>
          <w:sz w:val="24"/>
          <w:szCs w:val="24"/>
          <w:rtl w:val="0"/>
        </w:rPr>
        <w:t xml:space="preserve">through comments based on specific MYP Phase 3 criteria. As Black and Wiliam (2009) argue, peer assessment reinforces the internal understanding of quality criteria.</w:t>
      </w:r>
    </w:p>
    <w:p w:rsidR="00000000" w:rsidDel="00000000" w:rsidP="00000000" w:rsidRDefault="00000000" w:rsidRPr="00000000" w14:paraId="00000028">
      <w:pPr>
        <w:pStyle w:val="Heading3"/>
        <w:keepNext w:val="0"/>
        <w:keepLines w:val="0"/>
        <w:spacing w:before="280" w:lineRule="auto"/>
        <w:ind w:left="720"/>
        <w:rPr>
          <w:rFonts w:ascii="Times New Roman" w:cs="Times New Roman" w:eastAsia="Times New Roman" w:hAnsi="Times New Roman"/>
          <w:b w:val="1"/>
          <w:bCs w:val="1"/>
          <w:color w:val="000000"/>
          <w:sz w:val="24"/>
          <w:szCs w:val="24"/>
        </w:rPr>
      </w:pPr>
      <w:bookmarkStart w:colFirst="0" w:colLast="0" w:name="_jygsjq4lft0x" w:id="10"/>
      <w:bookmarkEnd w:id="10"/>
      <w:r w:rsidDel="00000000" w:rsidR="00000000" w:rsidRPr="00000000">
        <w:rPr>
          <w:rFonts w:ascii="Times New Roman" w:cs="Times New Roman" w:eastAsia="Times New Roman" w:hAnsi="Times New Roman"/>
          <w:b w:val="1"/>
          <w:bCs w:val="1"/>
          <w:color w:val="000000"/>
          <w:sz w:val="24"/>
          <w:szCs w:val="24"/>
          <w:rtl w:val="0"/>
        </w:rPr>
        <w:t xml:space="preserve">Table 1: Focus Student Progress and Reactions in Cycle 2</w:t>
      </w:r>
    </w:p>
    <w:tbl>
      <w:tblPr>
        <w:tblStyle w:val="Table1"/>
        <w:tblW w:w="910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035"/>
        <w:tblGridChange w:id="0">
          <w:tblGrid>
            <w:gridCol w:w="2070"/>
            <w:gridCol w:w="7035"/>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Focus Student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ind w:left="72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Reactions/Outcomes in Cycle 2</w:t>
            </w:r>
            <w:r w:rsidDel="00000000" w:rsidR="00000000" w:rsidRPr="00000000">
              <w:rPr>
                <w:rtl w:val="0"/>
              </w:rPr>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Produced highly analytical reflections, deeply evaluating their own work alongside the peer feedback received.</w:t>
            </w:r>
          </w:p>
        </w:tc>
      </w:tr>
      <w:tr>
        <w:trPr>
          <w:cantSplit w:val="0"/>
          <w:trHeight w:val="10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B</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Became actively involved; the responsibility of evaluating peers motivated them to overcome laziness and write detailed, justified comments using target vocabulary.</w:t>
            </w:r>
          </w:p>
        </w:tc>
      </w:tr>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Benefited from seeing examples of peers' work on Padlet; used simplified peer feedback checklists to successfully complete their own reflection.</w:t>
            </w:r>
          </w:p>
        </w:tc>
      </w:tr>
    </w:tbl>
    <w:p w:rsidR="00000000" w:rsidDel="00000000" w:rsidP="00000000" w:rsidRDefault="00000000" w:rsidRPr="00000000" w14:paraId="00000031">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mnkv5w2vcgji" w:id="11"/>
      <w:bookmarkEnd w:id="11"/>
      <w:r w:rsidDel="00000000" w:rsidR="00000000" w:rsidRPr="00000000">
        <w:rPr>
          <w:rFonts w:ascii="Times New Roman" w:cs="Times New Roman" w:eastAsia="Times New Roman" w:hAnsi="Times New Roman"/>
          <w:b w:val="1"/>
          <w:bCs w:val="1"/>
          <w:sz w:val="24"/>
          <w:szCs w:val="24"/>
          <w:rtl w:val="0"/>
        </w:rPr>
        <w:t xml:space="preserve">Final Observation Lesson and Future Pedagogical Shift: Oral Reflection</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lesson involved expert group discussions where Grade 8 students were required to reflect </w:t>
      </w:r>
      <w:r w:rsidDel="00000000" w:rsidR="00000000" w:rsidRPr="00000000">
        <w:rPr>
          <w:rFonts w:ascii="Times New Roman" w:cs="Times New Roman" w:eastAsia="Times New Roman" w:hAnsi="Times New Roman"/>
          <w:b w:val="1"/>
          <w:bCs w:val="1"/>
          <w:sz w:val="24"/>
          <w:szCs w:val="24"/>
          <w:rtl w:val="0"/>
        </w:rPr>
        <w:t xml:space="preserve">orally</w:t>
      </w:r>
      <w:r w:rsidDel="00000000" w:rsidR="00000000" w:rsidRPr="00000000">
        <w:rPr>
          <w:rFonts w:ascii="Times New Roman" w:cs="Times New Roman" w:eastAsia="Times New Roman" w:hAnsi="Times New Roman"/>
          <w:sz w:val="24"/>
          <w:szCs w:val="24"/>
          <w:rtl w:val="0"/>
        </w:rPr>
        <w:t xml:space="preserve"> on their learning experience and classroom performance (Criterion by Criterion).</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observation team noticed a sharp contrast between the students' newly developed written confidence and their oral performance. Spontaneous oral reflection appeared much more challenging for almost all learners at this phase:</w:t>
      </w:r>
    </w:p>
    <w:p w:rsidR="00000000" w:rsidDel="00000000" w:rsidP="00000000" w:rsidRDefault="00000000" w:rsidRPr="00000000" w14:paraId="00000034">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A</w:t>
      </w:r>
      <w:r w:rsidDel="00000000" w:rsidR="00000000" w:rsidRPr="00000000">
        <w:rPr>
          <w:rFonts w:ascii="Times New Roman" w:cs="Times New Roman" w:eastAsia="Times New Roman" w:hAnsi="Times New Roman"/>
          <w:sz w:val="24"/>
          <w:szCs w:val="24"/>
          <w:rtl w:val="0"/>
        </w:rPr>
        <w:t xml:space="preserve">, who excelled in written tasks, struggled to organize their thoughts verbally in real time, showing signs of hesitation and vocabulary gaps when speaking spontaneously.</w:t>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B</w:t>
      </w:r>
      <w:r w:rsidDel="00000000" w:rsidR="00000000" w:rsidRPr="00000000">
        <w:rPr>
          <w:rFonts w:ascii="Times New Roman" w:cs="Times New Roman" w:eastAsia="Times New Roman" w:hAnsi="Times New Roman"/>
          <w:sz w:val="24"/>
          <w:szCs w:val="24"/>
          <w:rtl w:val="0"/>
        </w:rPr>
        <w:t xml:space="preserve"> fell back into passivity, avoiding speaking in front of the group due to adolescent self-consciousness.</w:t>
      </w:r>
    </w:p>
    <w:p w:rsidR="00000000" w:rsidDel="00000000" w:rsidP="00000000" w:rsidRDefault="00000000" w:rsidRPr="00000000" w14:paraId="00000036">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C</w:t>
      </w:r>
      <w:r w:rsidDel="00000000" w:rsidR="00000000" w:rsidRPr="00000000">
        <w:rPr>
          <w:rFonts w:ascii="Times New Roman" w:cs="Times New Roman" w:eastAsia="Times New Roman" w:hAnsi="Times New Roman"/>
          <w:sz w:val="24"/>
          <w:szCs w:val="24"/>
          <w:rtl w:val="0"/>
        </w:rPr>
        <w:t xml:space="preserve"> suffered from an acute language barrier and anxiety, failing to provide an analytical oral response without heavy prompting and simplified leading questions.</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critical gap became the primary focal point of the observation team's post-lesson reflection. While the structured interventions over the two cycles successfully helped students build a </w:t>
      </w:r>
      <w:r w:rsidDel="00000000" w:rsidR="00000000" w:rsidRPr="00000000">
        <w:rPr>
          <w:rFonts w:ascii="Times New Roman" w:cs="Times New Roman" w:eastAsia="Times New Roman" w:hAnsi="Times New Roman"/>
          <w:b w:val="1"/>
          <w:bCs w:val="1"/>
          <w:sz w:val="24"/>
          <w:szCs w:val="24"/>
          <w:rtl w:val="0"/>
        </w:rPr>
        <w:t xml:space="preserve">sustainable and structured habit of written reflection</w:t>
      </w:r>
      <w:r w:rsidDel="00000000" w:rsidR="00000000" w:rsidRPr="00000000">
        <w:rPr>
          <w:rFonts w:ascii="Times New Roman" w:cs="Times New Roman" w:eastAsia="Times New Roman" w:hAnsi="Times New Roman"/>
          <w:sz w:val="24"/>
          <w:szCs w:val="24"/>
          <w:rtl w:val="0"/>
        </w:rPr>
        <w:t xml:space="preserve">, transitioning this skill into the oral domain requires a completely different cognitive and communicative load. Real-time language production (Swain, 2005) places a heavier burden on working memory and increases adolescent social anxiety.</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based on the final lesson analysis and expert recommendations, </w:t>
      </w:r>
      <w:r w:rsidDel="00000000" w:rsidR="00000000" w:rsidRPr="00000000">
        <w:rPr>
          <w:rFonts w:ascii="Times New Roman" w:cs="Times New Roman" w:eastAsia="Times New Roman" w:hAnsi="Times New Roman"/>
          <w:b w:val="1"/>
          <w:bCs w:val="1"/>
          <w:sz w:val="24"/>
          <w:szCs w:val="24"/>
          <w:rtl w:val="0"/>
        </w:rPr>
        <w:t xml:space="preserve">the focus of future pedagogical practices must pivot towards specifically practicing and refining oral reflection</w:t>
      </w:r>
      <w:r w:rsidDel="00000000" w:rsidR="00000000" w:rsidRPr="00000000">
        <w:rPr>
          <w:rFonts w:ascii="Times New Roman" w:cs="Times New Roman" w:eastAsia="Times New Roman" w:hAnsi="Times New Roman"/>
          <w:sz w:val="24"/>
          <w:szCs w:val="24"/>
          <w:rtl w:val="0"/>
        </w:rPr>
        <w:t xml:space="preserve">. The students have already mastered the internal structure of "how to reflect" on paper; the next developmental step is bridging the gap between written processing and spontaneous oral fluency.</w:t>
      </w:r>
    </w:p>
    <w:p w:rsidR="00000000" w:rsidDel="00000000" w:rsidP="00000000" w:rsidRDefault="00000000" w:rsidRPr="00000000" w14:paraId="00000039">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bv04lor1ynps" w:id="12"/>
      <w:bookmarkEnd w:id="12"/>
      <w:r w:rsidDel="00000000" w:rsidR="00000000" w:rsidRPr="00000000">
        <w:rPr>
          <w:rFonts w:ascii="Times New Roman" w:cs="Times New Roman" w:eastAsia="Times New Roman" w:hAnsi="Times New Roman"/>
          <w:b w:val="1"/>
          <w:bCs w:val="1"/>
          <w:sz w:val="24"/>
          <w:szCs w:val="24"/>
          <w:rtl w:val="0"/>
        </w:rPr>
        <w:t xml:space="preserve">Findings and Professional Reflection</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Study process provided valuable insights for both the English and Russian language departments:</w:t>
      </w:r>
    </w:p>
    <w:p w:rsidR="00000000" w:rsidDel="00000000" w:rsidP="00000000" w:rsidRDefault="00000000" w:rsidRPr="00000000" w14:paraId="0000003B">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Skill Disconnect:</w:t>
      </w:r>
      <w:r w:rsidDel="00000000" w:rsidR="00000000" w:rsidRPr="00000000">
        <w:rPr>
          <w:rFonts w:ascii="Times New Roman" w:cs="Times New Roman" w:eastAsia="Times New Roman" w:hAnsi="Times New Roman"/>
          <w:sz w:val="24"/>
          <w:szCs w:val="24"/>
          <w:rtl w:val="0"/>
        </w:rPr>
        <w:t xml:space="preserve"> Grade 8 Phase 3 students developed written reflective skills (ATL: Reflection) much more successfully than oral reflective skills due to the age-specific fear of public speaking and the gap between intermediate reading/writing skills and spontaneous oral fluency.</w:t>
      </w:r>
    </w:p>
    <w:p w:rsidR="00000000" w:rsidDel="00000000" w:rsidP="00000000" w:rsidRDefault="00000000" w:rsidRPr="00000000" w14:paraId="0000003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Scaffolding Is Cumulative:</w:t>
      </w:r>
      <w:r w:rsidDel="00000000" w:rsidR="00000000" w:rsidRPr="00000000">
        <w:rPr>
          <w:rFonts w:ascii="Times New Roman" w:cs="Times New Roman" w:eastAsia="Times New Roman" w:hAnsi="Times New Roman"/>
          <w:sz w:val="24"/>
          <w:szCs w:val="24"/>
          <w:rtl w:val="0"/>
        </w:rPr>
        <w:t xml:space="preserve"> Guided sentence starters and teacher modeling are essential. Once internalized in written assignments, these structures must be reintroduced with oral-specific scaffolds (e.g., talk moves, speech prompts).</w:t>
      </w:r>
    </w:p>
    <w:p w:rsidR="00000000" w:rsidDel="00000000" w:rsidP="00000000" w:rsidRDefault="00000000" w:rsidRPr="00000000" w14:paraId="0000003D">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Peer Feedback as a Motivator:</w:t>
      </w:r>
      <w:r w:rsidDel="00000000" w:rsidR="00000000" w:rsidRPr="00000000">
        <w:rPr>
          <w:rFonts w:ascii="Times New Roman" w:cs="Times New Roman" w:eastAsia="Times New Roman" w:hAnsi="Times New Roman"/>
          <w:sz w:val="24"/>
          <w:szCs w:val="24"/>
          <w:rtl w:val="0"/>
        </w:rPr>
        <w:t xml:space="preserve"> The inclusion of peer evaluation via Padlet effectively tackled student laziness (Student B) and built a supportive environment for weaker students (Student C) by providing visible language models.</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professional standpoint, the collaboration between English and Russian teachers allowed for a cross-curricular alignment of reflection strategies, ensuring that students meet the IB Learner Profile attribute of being </w:t>
      </w:r>
      <w:r w:rsidDel="00000000" w:rsidR="00000000" w:rsidRPr="00000000">
        <w:rPr>
          <w:rFonts w:ascii="Times New Roman" w:cs="Times New Roman" w:eastAsia="Times New Roman" w:hAnsi="Times New Roman"/>
          <w:b w:val="1"/>
          <w:bCs w:val="1"/>
          <w:sz w:val="24"/>
          <w:szCs w:val="24"/>
          <w:rtl w:val="0"/>
        </w:rPr>
        <w:t xml:space="preserve">Reflective </w:t>
      </w:r>
      <w:r w:rsidDel="00000000" w:rsidR="00000000" w:rsidRPr="00000000">
        <w:rPr>
          <w:rFonts w:ascii="Times New Roman" w:cs="Times New Roman" w:eastAsia="Times New Roman" w:hAnsi="Times New Roman"/>
          <w:sz w:val="24"/>
          <w:szCs w:val="24"/>
          <w:rtl w:val="0"/>
        </w:rPr>
        <w:t xml:space="preserve">consistently across different language classes.</w:t>
      </w:r>
    </w:p>
    <w:p w:rsidR="00000000" w:rsidDel="00000000" w:rsidP="00000000" w:rsidRDefault="00000000" w:rsidRPr="00000000" w14:paraId="0000003F">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vkjfol2kvjpu" w:id="13"/>
      <w:bookmarkEnd w:id="13"/>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Study demonstrated that meaningful reflection is a progressive skill that does not happen automatically, even at an intermediate language level. Through the targeted tracking of focus students (A, B, C) and the diagnostic use of baseline data (showing that initially 64.3% of students could not provide an answer), the team proved that intentional scaffolding, peer feedback, and cross-departmental strategy alignment significantly improve </w:t>
      </w:r>
      <w:r w:rsidDel="00000000" w:rsidR="00000000" w:rsidRPr="00000000">
        <w:rPr>
          <w:rFonts w:ascii="Times New Roman" w:cs="Times New Roman" w:eastAsia="Times New Roman" w:hAnsi="Times New Roman"/>
          <w:b w:val="1"/>
          <w:bCs w:val="1"/>
          <w:sz w:val="24"/>
          <w:szCs w:val="24"/>
          <w:rtl w:val="0"/>
        </w:rPr>
        <w:t xml:space="preserve">written</w:t>
      </w:r>
      <w:r w:rsidDel="00000000" w:rsidR="00000000" w:rsidRPr="00000000">
        <w:rPr>
          <w:rFonts w:ascii="Times New Roman" w:cs="Times New Roman" w:eastAsia="Times New Roman" w:hAnsi="Times New Roman"/>
          <w:sz w:val="24"/>
          <w:szCs w:val="24"/>
          <w:rtl w:val="0"/>
        </w:rPr>
        <w:t xml:space="preserve"> reflection in MYP Phase 3 Language Acquisition.</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since written reflection has now been successfully established, future action research and daily teaching strategies must be directed toward </w:t>
      </w:r>
      <w:r w:rsidDel="00000000" w:rsidR="00000000" w:rsidRPr="00000000">
        <w:rPr>
          <w:rFonts w:ascii="Times New Roman" w:cs="Times New Roman" w:eastAsia="Times New Roman" w:hAnsi="Times New Roman"/>
          <w:b w:val="1"/>
          <w:bCs w:val="1"/>
          <w:sz w:val="24"/>
          <w:szCs w:val="24"/>
          <w:rtl w:val="0"/>
        </w:rPr>
        <w:t xml:space="preserve">developing oral reflection</w:t>
      </w:r>
      <w:r w:rsidDel="00000000" w:rsidR="00000000" w:rsidRPr="00000000">
        <w:rPr>
          <w:rFonts w:ascii="Times New Roman" w:cs="Times New Roman" w:eastAsia="Times New Roman" w:hAnsi="Times New Roman"/>
          <w:sz w:val="24"/>
          <w:szCs w:val="24"/>
          <w:rtl w:val="0"/>
        </w:rPr>
        <w:t xml:space="preserve">. Future pedagogical steps will focus on designing specific communicative, psychological, and conversational scaffolds to help Grade 8 students confidently and spontaneously articulate their metacognitive thoughts aloud.</w:t>
      </w:r>
    </w:p>
    <w:p w:rsidR="00000000" w:rsidDel="00000000" w:rsidP="00000000" w:rsidRDefault="00000000" w:rsidRPr="00000000" w14:paraId="00000042">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69qyxuim5nfr" w:id="14"/>
      <w:bookmarkEnd w:id="14"/>
      <w:r w:rsidDel="00000000" w:rsidR="00000000" w:rsidRPr="00000000">
        <w:rPr>
          <w:rtl w:val="0"/>
        </w:rPr>
      </w:r>
    </w:p>
    <w:p w:rsidR="00000000" w:rsidDel="00000000" w:rsidP="00000000" w:rsidRDefault="00000000" w:rsidRPr="00000000" w14:paraId="00000043">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9cfh0va6p7xr" w:id="15"/>
      <w:bookmarkEnd w:id="15"/>
      <w:r w:rsidDel="00000000" w:rsidR="00000000" w:rsidRPr="00000000">
        <w:rPr>
          <w:rtl w:val="0"/>
        </w:rPr>
      </w:r>
    </w:p>
    <w:p w:rsidR="00000000" w:rsidDel="00000000" w:rsidP="00000000" w:rsidRDefault="00000000" w:rsidRPr="00000000" w14:paraId="00000044">
      <w:pPr>
        <w:pStyle w:val="Heading2"/>
        <w:keepNext w:val="0"/>
        <w:keepLines w:val="0"/>
        <w:spacing w:after="80" w:lineRule="auto"/>
        <w:ind w:left="720"/>
        <w:rPr>
          <w:rFonts w:ascii="Times New Roman" w:cs="Times New Roman" w:eastAsia="Times New Roman" w:hAnsi="Times New Roman"/>
          <w:b w:val="1"/>
          <w:bCs w:val="1"/>
          <w:sz w:val="24"/>
          <w:szCs w:val="24"/>
        </w:rPr>
      </w:pPr>
      <w:bookmarkStart w:colFirst="0" w:colLast="0" w:name="_vktstxl20ntv" w:id="16"/>
      <w:bookmarkEnd w:id="16"/>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45">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P., &amp; Wiliam, D. (2009). Developing the theory of formative assessment. </w:t>
      </w:r>
      <w:r w:rsidDel="00000000" w:rsidR="00000000" w:rsidRPr="00000000">
        <w:rPr>
          <w:rFonts w:ascii="Times New Roman" w:cs="Times New Roman" w:eastAsia="Times New Roman" w:hAnsi="Times New Roman"/>
          <w:i w:val="1"/>
          <w:iCs w:val="1"/>
          <w:sz w:val="24"/>
          <w:szCs w:val="24"/>
          <w:rtl w:val="0"/>
        </w:rPr>
        <w:t xml:space="preserve">Educational Assessment, Evaluation and Accountability</w:t>
      </w:r>
      <w:r w:rsidDel="00000000" w:rsidR="00000000" w:rsidRPr="00000000">
        <w:rPr>
          <w:rFonts w:ascii="Times New Roman" w:cs="Times New Roman" w:eastAsia="Times New Roman" w:hAnsi="Times New Roman"/>
          <w:sz w:val="24"/>
          <w:szCs w:val="24"/>
          <w:rtl w:val="0"/>
        </w:rPr>
        <w:t xml:space="preserve">, 21(1), 5–31. https://doi.org/10.1007/s11092-008-9068-5</w:t>
      </w:r>
    </w:p>
    <w:p w:rsidR="00000000" w:rsidDel="00000000" w:rsidP="00000000" w:rsidRDefault="00000000" w:rsidRPr="00000000" w14:paraId="00000046">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Dudley, P. (2014). </w:t>
      </w:r>
      <w:r w:rsidDel="00000000" w:rsidR="00000000" w:rsidRPr="00000000">
        <w:rPr>
          <w:rFonts w:ascii="Times New Roman" w:cs="Times New Roman" w:eastAsia="Times New Roman" w:hAnsi="Times New Roman"/>
          <w:i w:val="1"/>
          <w:iCs w:val="1"/>
          <w:sz w:val="24"/>
          <w:szCs w:val="24"/>
          <w:rtl w:val="0"/>
        </w:rPr>
        <w:t xml:space="preserve">Lesson Study: A professional development guide for teachers</w:t>
      </w:r>
      <w:r w:rsidDel="00000000" w:rsidR="00000000" w:rsidRPr="00000000">
        <w:rPr>
          <w:rFonts w:ascii="Times New Roman" w:cs="Times New Roman" w:eastAsia="Times New Roman" w:hAnsi="Times New Roman"/>
          <w:sz w:val="24"/>
          <w:szCs w:val="24"/>
          <w:rtl w:val="0"/>
        </w:rPr>
        <w:t xml:space="preserve">. Lesson Study UK.</w:t>
      </w:r>
    </w:p>
    <w:p w:rsidR="00000000" w:rsidDel="00000000" w:rsidP="00000000" w:rsidRDefault="00000000" w:rsidRPr="00000000" w14:paraId="0000004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Gibbons, P. (2015). </w:t>
      </w:r>
      <w:r w:rsidDel="00000000" w:rsidR="00000000" w:rsidRPr="00000000">
        <w:rPr>
          <w:rFonts w:ascii="Times New Roman" w:cs="Times New Roman" w:eastAsia="Times New Roman" w:hAnsi="Times New Roman"/>
          <w:i w:val="1"/>
          <w:iCs w:val="1"/>
          <w:sz w:val="24"/>
          <w:szCs w:val="24"/>
          <w:rtl w:val="0"/>
        </w:rPr>
        <w:t xml:space="preserve">Scaffolding language, scaffolding learning: Teaching English language learners in the mainstream classroom</w:t>
      </w:r>
      <w:r w:rsidDel="00000000" w:rsidR="00000000" w:rsidRPr="00000000">
        <w:rPr>
          <w:rFonts w:ascii="Times New Roman" w:cs="Times New Roman" w:eastAsia="Times New Roman" w:hAnsi="Times New Roman"/>
          <w:sz w:val="24"/>
          <w:szCs w:val="24"/>
          <w:rtl w:val="0"/>
        </w:rPr>
        <w:t xml:space="preserve"> (2nd ed.). Heinemann.</w:t>
      </w:r>
    </w:p>
    <w:p w:rsidR="00000000" w:rsidDel="00000000" w:rsidP="00000000" w:rsidRDefault="00000000" w:rsidRPr="00000000" w14:paraId="0000004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Hattie, J. (2012). </w:t>
      </w:r>
      <w:r w:rsidDel="00000000" w:rsidR="00000000" w:rsidRPr="00000000">
        <w:rPr>
          <w:rFonts w:ascii="Times New Roman" w:cs="Times New Roman" w:eastAsia="Times New Roman" w:hAnsi="Times New Roman"/>
          <w:i w:val="1"/>
          <w:iCs w:val="1"/>
          <w:sz w:val="24"/>
          <w:szCs w:val="24"/>
          <w:rtl w:val="0"/>
        </w:rPr>
        <w:t xml:space="preserve">Visible learning for teachers: Maximizing impact on learning</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4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Baccalaureate Organization. (2014). </w:t>
      </w:r>
      <w:r w:rsidDel="00000000" w:rsidR="00000000" w:rsidRPr="00000000">
        <w:rPr>
          <w:rFonts w:ascii="Times New Roman" w:cs="Times New Roman" w:eastAsia="Times New Roman" w:hAnsi="Times New Roman"/>
          <w:i w:val="1"/>
          <w:iCs w:val="1"/>
          <w:sz w:val="24"/>
          <w:szCs w:val="24"/>
          <w:rtl w:val="0"/>
        </w:rPr>
        <w:t xml:space="preserve">Middle Years Programme: Language acquisition guide</w:t>
      </w:r>
      <w:r w:rsidDel="00000000" w:rsidR="00000000" w:rsidRPr="00000000">
        <w:rPr>
          <w:rFonts w:ascii="Times New Roman" w:cs="Times New Roman" w:eastAsia="Times New Roman" w:hAnsi="Times New Roman"/>
          <w:sz w:val="24"/>
          <w:szCs w:val="24"/>
          <w:rtl w:val="0"/>
        </w:rPr>
        <w:t xml:space="preserve">. IBO.</w:t>
      </w:r>
    </w:p>
    <w:p w:rsidR="00000000" w:rsidDel="00000000" w:rsidP="00000000" w:rsidRDefault="00000000" w:rsidRPr="00000000" w14:paraId="0000004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C., Perry, R., &amp; Hurd, J. (2006). A deeper look at Lesson Study. </w:t>
      </w:r>
      <w:r w:rsidDel="00000000" w:rsidR="00000000" w:rsidRPr="00000000">
        <w:rPr>
          <w:rFonts w:ascii="Times New Roman" w:cs="Times New Roman" w:eastAsia="Times New Roman" w:hAnsi="Times New Roman"/>
          <w:i w:val="1"/>
          <w:iCs w:val="1"/>
          <w:sz w:val="24"/>
          <w:szCs w:val="24"/>
          <w:rtl w:val="0"/>
        </w:rPr>
        <w:t xml:space="preserve">Educational Leadership</w:t>
      </w:r>
      <w:r w:rsidDel="00000000" w:rsidR="00000000" w:rsidRPr="00000000">
        <w:rPr>
          <w:rFonts w:ascii="Times New Roman" w:cs="Times New Roman" w:eastAsia="Times New Roman" w:hAnsi="Times New Roman"/>
          <w:sz w:val="24"/>
          <w:szCs w:val="24"/>
          <w:rtl w:val="0"/>
        </w:rPr>
        <w:t xml:space="preserve">, 64(4), 18–23.</w:t>
      </w:r>
    </w:p>
    <w:p w:rsidR="00000000" w:rsidDel="00000000" w:rsidP="00000000" w:rsidRDefault="00000000" w:rsidRPr="00000000" w14:paraId="0000004B">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D. (2020). Learner autonomy and language learning: Past, present and future. </w:t>
      </w:r>
      <w:r w:rsidDel="00000000" w:rsidR="00000000" w:rsidRPr="00000000">
        <w:rPr>
          <w:rFonts w:ascii="Times New Roman" w:cs="Times New Roman" w:eastAsia="Times New Roman" w:hAnsi="Times New Roman"/>
          <w:i w:val="1"/>
          <w:iCs w:val="1"/>
          <w:sz w:val="24"/>
          <w:szCs w:val="24"/>
          <w:rtl w:val="0"/>
        </w:rPr>
        <w:t xml:space="preserve">Language Teaching</w:t>
      </w:r>
      <w:r w:rsidDel="00000000" w:rsidR="00000000" w:rsidRPr="00000000">
        <w:rPr>
          <w:rFonts w:ascii="Times New Roman" w:cs="Times New Roman" w:eastAsia="Times New Roman" w:hAnsi="Times New Roman"/>
          <w:sz w:val="24"/>
          <w:szCs w:val="24"/>
          <w:rtl w:val="0"/>
        </w:rPr>
        <w:t xml:space="preserve">, 53(3), 259–271. https://doi.org/10.1017/S026144482000009X</w:t>
      </w:r>
    </w:p>
    <w:p w:rsidR="00000000" w:rsidDel="00000000" w:rsidP="00000000" w:rsidRDefault="00000000" w:rsidRPr="00000000" w14:paraId="0000004C">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Paragraph, J., &amp; Finch, K. (2018). Reflective writing in the middle school classroom: Moving beyond the surface. </w:t>
      </w:r>
      <w:r w:rsidDel="00000000" w:rsidR="00000000" w:rsidRPr="00000000">
        <w:rPr>
          <w:rFonts w:ascii="Times New Roman" w:cs="Times New Roman" w:eastAsia="Times New Roman" w:hAnsi="Times New Roman"/>
          <w:i w:val="1"/>
          <w:iCs w:val="1"/>
          <w:sz w:val="24"/>
          <w:szCs w:val="24"/>
          <w:rtl w:val="0"/>
        </w:rPr>
        <w:t xml:space="preserve">Journal of Adolescent &amp; Adult Literacy</w:t>
      </w:r>
      <w:r w:rsidDel="00000000" w:rsidR="00000000" w:rsidRPr="00000000">
        <w:rPr>
          <w:rFonts w:ascii="Times New Roman" w:cs="Times New Roman" w:eastAsia="Times New Roman" w:hAnsi="Times New Roman"/>
          <w:sz w:val="24"/>
          <w:szCs w:val="24"/>
          <w:rtl w:val="0"/>
        </w:rPr>
        <w:t xml:space="preserve">, 62(2), 145–153.</w:t>
      </w:r>
    </w:p>
    <w:p w:rsidR="00000000" w:rsidDel="00000000" w:rsidP="00000000" w:rsidRDefault="00000000" w:rsidRPr="00000000" w14:paraId="0000004D">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Swain, M. (2005). The Output Hypothesis: Theory and research. In E. Hinkel (Ed.), </w:t>
      </w:r>
      <w:r w:rsidDel="00000000" w:rsidR="00000000" w:rsidRPr="00000000">
        <w:rPr>
          <w:rFonts w:ascii="Times New Roman" w:cs="Times New Roman" w:eastAsia="Times New Roman" w:hAnsi="Times New Roman"/>
          <w:i w:val="1"/>
          <w:iCs w:val="1"/>
          <w:sz w:val="24"/>
          <w:szCs w:val="24"/>
          <w:rtl w:val="0"/>
        </w:rPr>
        <w:t xml:space="preserve">Handbook of research in second language teaching and learning</w:t>
      </w:r>
      <w:r w:rsidDel="00000000" w:rsidR="00000000" w:rsidRPr="00000000">
        <w:rPr>
          <w:rFonts w:ascii="Times New Roman" w:cs="Times New Roman" w:eastAsia="Times New Roman" w:hAnsi="Times New Roman"/>
          <w:sz w:val="24"/>
          <w:szCs w:val="24"/>
          <w:rtl w:val="0"/>
        </w:rPr>
        <w:t xml:space="preserve"> (pp. 471–483). Lawrence Erlbaum Associates.</w:t>
      </w:r>
    </w:p>
    <w:p w:rsidR="00000000" w:rsidDel="00000000" w:rsidP="00000000" w:rsidRDefault="00000000" w:rsidRPr="00000000" w14:paraId="0000004E">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Warschauer, M. (2011). </w:t>
      </w:r>
      <w:r w:rsidDel="00000000" w:rsidR="00000000" w:rsidRPr="00000000">
        <w:rPr>
          <w:rFonts w:ascii="Times New Roman" w:cs="Times New Roman" w:eastAsia="Times New Roman" w:hAnsi="Times New Roman"/>
          <w:i w:val="1"/>
          <w:iCs w:val="1"/>
          <w:sz w:val="24"/>
          <w:szCs w:val="24"/>
          <w:rtl w:val="0"/>
        </w:rPr>
        <w:t xml:space="preserve">Learning in the cloud: How digital tools are shaping the future of education</w:t>
      </w:r>
      <w:r w:rsidDel="00000000" w:rsidR="00000000" w:rsidRPr="00000000">
        <w:rPr>
          <w:rFonts w:ascii="Times New Roman" w:cs="Times New Roman" w:eastAsia="Times New Roman" w:hAnsi="Times New Roman"/>
          <w:sz w:val="24"/>
          <w:szCs w:val="24"/>
          <w:rtl w:val="0"/>
        </w:rPr>
        <w:t xml:space="preserve">. Teachers College Press.</w:t>
      </w:r>
    </w:p>
    <w:p w:rsidR="00000000" w:rsidDel="00000000" w:rsidP="00000000" w:rsidRDefault="00000000" w:rsidRPr="00000000" w14:paraId="0000004F">
      <w:pPr>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