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DC" w:rsidRDefault="001E27DC" w:rsidP="001E27DC">
      <w:r>
        <w:t>https: // mektepzhurnal.kz/</w:t>
      </w:r>
      <w:proofErr w:type="spellStart"/>
      <w:r>
        <w:t>baza</w:t>
      </w:r>
      <w:proofErr w:type="spellEnd"/>
      <w:r>
        <w:t>-mat</w:t>
      </w:r>
      <w:r>
        <w:rPr>
          <w:lang w:val="ru-RU"/>
        </w:rPr>
        <w:t>е</w:t>
      </w:r>
      <w:proofErr w:type="spellStart"/>
      <w:r>
        <w:t>rialov</w:t>
      </w:r>
      <w:proofErr w:type="spellEnd"/>
      <w:r>
        <w:t>/doc-13656</w:t>
      </w:r>
    </w:p>
    <w:p w:rsid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Нарбаева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Гульзира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Асылбековна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27DC">
        <w:rPr>
          <w:rFonts w:ascii="Times New Roman" w:hAnsi="Times New Roman"/>
          <w:b/>
          <w:sz w:val="28"/>
          <w:szCs w:val="28"/>
          <w:lang w:val="ru-RU"/>
        </w:rPr>
        <w:t>Профессиональная ориентация школьников в условиях школы: история теория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Слово «профессия» в переводе с латинского языка означает официально указанное занятие, специальность. Профессия — это вид трудовой деятельности, занятий, требующих от человека определённой подготовки и соответствующих качеств личности [, 143].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Проблема подготовки подрастающих поколений к труду — извечная проблема человеческого общества. Однако в различных общественно-экономических формациях она решалась по-разному, каждый раз наполняясь новым содержанием и обретая новые формы реализации на практике.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«В конце XIX – начале XX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в.в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>. учёные и общественные деятели пришли к мысли о том, что для выполнения человеком каждой конкретной работы необходимы не только выучка, но и способности, определяющие его профессиональную пригодность. В связи с этим молодым людям, выбирающим профессию, стала необход</w:t>
      </w:r>
      <w:r>
        <w:rPr>
          <w:rFonts w:ascii="Times New Roman" w:hAnsi="Times New Roman"/>
          <w:sz w:val="28"/>
          <w:szCs w:val="28"/>
          <w:lang w:val="ru-RU"/>
        </w:rPr>
        <w:t>имой соответствующая помощь» [</w:t>
      </w:r>
      <w:r w:rsidRPr="001E27DC">
        <w:rPr>
          <w:rFonts w:ascii="Times New Roman" w:hAnsi="Times New Roman"/>
          <w:sz w:val="28"/>
          <w:szCs w:val="28"/>
          <w:lang w:val="ru-RU"/>
        </w:rPr>
        <w:t>2, 123].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В XIX в. появились литературные источники, раскрывающие некоторые вопросы профессиональной ориентации молодёжи. Во Франции вышло «Руководство по выбору профессий» (1849 и 1887г.) в России была издана книга профессора Петербургского университета Н.И. Кареева «Выбор факультета и прохождение университетского курса».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Таким образом, зародившееся в конце XIX в. – начале XX в. движение по организации профессиональной ориентации получило свой старт, требуемый самой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жизню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>, её социально-экономическом развитием.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Pr="001E27DC">
        <w:rPr>
          <w:rFonts w:ascii="Times New Roman" w:hAnsi="Times New Roman"/>
          <w:sz w:val="28"/>
          <w:szCs w:val="28"/>
          <w:lang w:val="ru-RU"/>
        </w:rPr>
        <w:t>сновным методом определения профессиональной пригодности молодого человека был лишь анкетный опрос. Так складывался первый опыт профориентации учащихся, который включал предварительное изучение профессиональных склонностей подростков в школе, проведение бесед в бюро, заполнение анкет, опрос родителей и педагогов, заключительную беседу, консультацию и посредничество в определении выпускников на работу.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В начале XX века в России начинает развёртывать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профориентационную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деятельность Педагогический музей учительского дома (Москва). Музей предпринял ряд обследований, касающихся вопроса о выборе профессии учащимися различных типов школ. В процессе проводившейся работы выяснилось, «какие профессии привлекают наибольшее внимание, каковы причины, которые побуждают молодых людей пойти по тому или иному трудовому пути. С этой целью музей организовал в школах опрос учащихся об их будущей профессии» </w:t>
      </w:r>
      <w:r>
        <w:rPr>
          <w:rFonts w:ascii="Times New Roman" w:hAnsi="Times New Roman"/>
          <w:sz w:val="28"/>
          <w:szCs w:val="28"/>
          <w:lang w:val="ru-RU"/>
        </w:rPr>
        <w:t>[</w:t>
      </w:r>
      <w:r w:rsidRPr="001E27DC">
        <w:rPr>
          <w:rFonts w:ascii="Times New Roman" w:hAnsi="Times New Roman"/>
          <w:sz w:val="28"/>
          <w:szCs w:val="28"/>
          <w:lang w:val="ru-RU"/>
        </w:rPr>
        <w:t>3, 68].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Требование подготовки учащихся советской школы к участию в производительном труде было определено программой РКП(б), принятой VIII съездом партии в 1919г.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Один из теоретиков и организаторов трудовой политехнической школы П.Т.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Блонский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, развивая программу «хорошего работника» в школе, обосновал необходимость начинать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профориентационную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работу с начальных классов путём знакомства с профессиями на основе углублённых знаний по интересам и практической пробы своих сил.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Для того чтобы создать резерв для пополнения различных отраслей народного хозяйства и культуры кадрами, в 1924г. старшие классы школы -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девятилетки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были профессионализированы. В стране были созданы средние школы с кооперативно - торговым, производственно-техническим, административно-хозяйственным, культурно-просветительным уклонами. Были организованы фабрично-заводские семилетки и школы крестьянской молодёжи, </w:t>
      </w:r>
      <w:r w:rsidRPr="001E27DC">
        <w:rPr>
          <w:rFonts w:ascii="Times New Roman" w:hAnsi="Times New Roman"/>
          <w:sz w:val="28"/>
          <w:szCs w:val="28"/>
          <w:lang w:val="ru-RU"/>
        </w:rPr>
        <w:lastRenderedPageBreak/>
        <w:t>в которых давались общеобразовательные знания и прививались определённые навыки и умения.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В 1927г. профессором В.М. Бехтеревым было основано Бюро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профконсультации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Наркомтруда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, ставившее своей целью распределение рабочей силы более рациональным путём. В течение последующих двух лет в стране создалась сеть бюро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профконсультаций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>: в Ленинграде, Перми, С</w:t>
      </w:r>
      <w:r>
        <w:rPr>
          <w:rFonts w:ascii="Times New Roman" w:hAnsi="Times New Roman"/>
          <w:sz w:val="28"/>
          <w:szCs w:val="28"/>
          <w:lang w:val="ru-RU"/>
        </w:rPr>
        <w:t>вердловске, Ярославле, Твери [</w:t>
      </w:r>
      <w:r w:rsidRPr="001E27DC">
        <w:rPr>
          <w:rFonts w:ascii="Times New Roman" w:hAnsi="Times New Roman"/>
          <w:sz w:val="28"/>
          <w:szCs w:val="28"/>
          <w:lang w:val="ru-RU"/>
        </w:rPr>
        <w:t>4, 15].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В послевоенное вопрос о политехническом обучении молодёжи был снова поставлен на рассмотрение. Перестройка работы школы на основе принятого в декабре 1958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7DC">
        <w:rPr>
          <w:rFonts w:ascii="Times New Roman" w:hAnsi="Times New Roman"/>
          <w:sz w:val="28"/>
          <w:szCs w:val="28"/>
          <w:lang w:val="ru-RU"/>
        </w:rPr>
        <w:t>г. «Закона об укреплении связи школы с жизнью и о дальнейшем развитии системы народного образования в СССР» ознаменовала новый этап и в развитии проблемы профориентации учащихся.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В настоящее время в психолого-педагогической литературе нет единого подхода к толкованию самого понятия «профор</w:t>
      </w:r>
      <w:r>
        <w:rPr>
          <w:rFonts w:ascii="Times New Roman" w:hAnsi="Times New Roman"/>
          <w:sz w:val="28"/>
          <w:szCs w:val="28"/>
          <w:lang w:val="ru-RU"/>
        </w:rPr>
        <w:t>иентация». Так, А.Д. Сазанов [5], В.Д. Симоненко [6</w:t>
      </w:r>
      <w:r w:rsidRPr="001E27DC">
        <w:rPr>
          <w:rFonts w:ascii="Times New Roman" w:hAnsi="Times New Roman"/>
          <w:sz w:val="28"/>
          <w:szCs w:val="28"/>
          <w:lang w:val="ru-RU"/>
        </w:rPr>
        <w:t>] дали следующие определение: «Профессиональная ориентация учащихся — это научно обоснованная система социально-экономических, психолого-педагогических, медицинских мероприятий, направленных на оказание помощи молодёжи в профессиональном самоопределении с учётом потребностей народного хозяйства в кадрах, интересов, способностей и физиологи</w:t>
      </w:r>
      <w:r>
        <w:rPr>
          <w:rFonts w:ascii="Times New Roman" w:hAnsi="Times New Roman"/>
          <w:sz w:val="28"/>
          <w:szCs w:val="28"/>
          <w:lang w:val="ru-RU"/>
        </w:rPr>
        <w:t>ческих возможностей личности» [</w:t>
      </w:r>
      <w:r w:rsidRPr="001E27DC">
        <w:rPr>
          <w:rFonts w:ascii="Times New Roman" w:hAnsi="Times New Roman"/>
          <w:sz w:val="28"/>
          <w:szCs w:val="28"/>
          <w:lang w:val="ru-RU"/>
        </w:rPr>
        <w:t>7, 88].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«Профессиональная ориентация как экономический процесс — это управление выбором профессии и места работы путём формирования определённых склонностей (призвания) посредством убеждения с учётом способностей индивида и потребностей общества» – писал В.Е. Семенов. Общим для всех вышеперечисленных толкований является то, что под профориентацией ими понимается совместная деятельность школы, семьи и общественности, направленная на подготовку учащейся молодёжи к выбору профессии в </w:t>
      </w:r>
      <w:r w:rsidRPr="001E27DC">
        <w:rPr>
          <w:rFonts w:ascii="Times New Roman" w:hAnsi="Times New Roman"/>
          <w:sz w:val="28"/>
          <w:szCs w:val="28"/>
          <w:lang w:val="ru-RU"/>
        </w:rPr>
        <w:lastRenderedPageBreak/>
        <w:t>соответствии с их интересами, склонностями и способностями, а также потребностями общества в трудовых рес</w:t>
      </w:r>
      <w:r>
        <w:rPr>
          <w:rFonts w:ascii="Times New Roman" w:hAnsi="Times New Roman"/>
          <w:sz w:val="28"/>
          <w:szCs w:val="28"/>
          <w:lang w:val="ru-RU"/>
        </w:rPr>
        <w:t>урсах [</w:t>
      </w:r>
      <w:r w:rsidRPr="001E27DC">
        <w:rPr>
          <w:rFonts w:ascii="Times New Roman" w:hAnsi="Times New Roman"/>
          <w:sz w:val="28"/>
          <w:szCs w:val="28"/>
          <w:lang w:val="ru-RU"/>
        </w:rPr>
        <w:t>8, 44].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В толковом словаре Ожегова глагол «самоопределиться» означает «определить свое место в жизни, в обществе, осознать свои общественные, классовые, национальные интересы». Это разумная и целеустремленная деятельность субъекта, приводящая в конечном итоге к осущес</w:t>
      </w:r>
      <w:r>
        <w:rPr>
          <w:rFonts w:ascii="Times New Roman" w:hAnsi="Times New Roman"/>
          <w:sz w:val="28"/>
          <w:szCs w:val="28"/>
          <w:lang w:val="ru-RU"/>
        </w:rPr>
        <w:t>твлению запланированной цели [</w:t>
      </w:r>
      <w:r w:rsidRPr="001E27DC">
        <w:rPr>
          <w:rFonts w:ascii="Times New Roman" w:hAnsi="Times New Roman"/>
          <w:sz w:val="28"/>
          <w:szCs w:val="28"/>
          <w:lang w:val="ru-RU"/>
        </w:rPr>
        <w:t>9, 59].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Профессиональное самоопределение как акт выбора профессии рассматривает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ухарчук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A.M.,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Ценципер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А.Б. [1</w:t>
      </w:r>
      <w:r w:rsidRPr="001E27DC">
        <w:rPr>
          <w:rFonts w:ascii="Times New Roman" w:hAnsi="Times New Roman"/>
          <w:sz w:val="28"/>
          <w:szCs w:val="28"/>
          <w:lang w:val="ru-RU"/>
        </w:rPr>
        <w:t xml:space="preserve">0] определяет профессиональный выбор как длительный процесс, состоящий из серии событий, имеющий несколько возможных моделей. Период формирования профессионального самоопределения охватывает молодых людей в возрасте от 14 до 25 лет. Именно в этот период молодой человек, ориентируясь на свои профессиональные возможности, пробует свои силы в различных социальных ролях. </w:t>
      </w:r>
      <w:r>
        <w:rPr>
          <w:rFonts w:ascii="Times New Roman" w:hAnsi="Times New Roman"/>
          <w:sz w:val="28"/>
          <w:szCs w:val="28"/>
          <w:lang w:val="ru-RU"/>
        </w:rPr>
        <w:t xml:space="preserve">Н.С.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Пряжников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выделяет начало трудовой деятельности как финал профессионального самоопределения. Так </w:t>
      </w:r>
      <w:r>
        <w:rPr>
          <w:rFonts w:ascii="Times New Roman" w:hAnsi="Times New Roman"/>
          <w:sz w:val="28"/>
          <w:szCs w:val="28"/>
          <w:lang w:val="ru-RU"/>
        </w:rPr>
        <w:t xml:space="preserve">Н.С.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Пряжников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утверждает, что «задача выбора профессии становится аффективным центром жизненной ситуации старших школьников, поскольку новая социальная ситуация развития приводит к перестро</w:t>
      </w:r>
      <w:r>
        <w:rPr>
          <w:rFonts w:ascii="Times New Roman" w:hAnsi="Times New Roman"/>
          <w:sz w:val="28"/>
          <w:szCs w:val="28"/>
          <w:lang w:val="ru-RU"/>
        </w:rPr>
        <w:t>йке всей мотивационной сферы» 11</w:t>
      </w:r>
      <w:r w:rsidRPr="001E27DC">
        <w:rPr>
          <w:rFonts w:ascii="Times New Roman" w:hAnsi="Times New Roman"/>
          <w:sz w:val="28"/>
          <w:szCs w:val="28"/>
          <w:lang w:val="ru-RU"/>
        </w:rPr>
        <w:t>, 178].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Более объективной точкой зрения в контексте исследования мы считаем </w:t>
      </w:r>
      <w:r w:rsidR="00AD4628">
        <w:rPr>
          <w:rFonts w:ascii="Times New Roman" w:hAnsi="Times New Roman"/>
          <w:sz w:val="28"/>
          <w:szCs w:val="28"/>
          <w:lang w:val="ru-RU"/>
        </w:rPr>
        <w:t xml:space="preserve">этих авторов, </w:t>
      </w:r>
      <w:r w:rsidRPr="001E27DC">
        <w:rPr>
          <w:rFonts w:ascii="Times New Roman" w:hAnsi="Times New Roman"/>
          <w:sz w:val="28"/>
          <w:szCs w:val="28"/>
          <w:lang w:val="ru-RU"/>
        </w:rPr>
        <w:t xml:space="preserve">придерживающихся в своих исследованиях позиции личностно-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деятельностного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подхода.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В факторной теории Раймонда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Кеттелла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факторный анализ для используется, чтобы разобраться с множеством проблем. Его теория представляет попытку собрать и систематизировать открытия, совершенные в рамках факторных исследований личности.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Кеттел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считает, что детальное определение личности возможно лишь после полной спецификации понятий, которые теоретик предполагает использовать при изучении поведения. Таким </w:t>
      </w:r>
      <w:r w:rsidRPr="001E27DC">
        <w:rPr>
          <w:rFonts w:ascii="Times New Roman" w:hAnsi="Times New Roman"/>
          <w:sz w:val="28"/>
          <w:szCs w:val="28"/>
          <w:lang w:val="ru-RU"/>
        </w:rPr>
        <w:lastRenderedPageBreak/>
        <w:t>образом, он умышленно дает лишь очень общее определение: «Личность – это то, что позволяет предсказать, что сделает человек в данной ситуации. Цель психологического исследования личности – установить законы, по которым люди ведут себя во всех видах социальных ситуаций и общих ситуациях среды... Личность... связана со всем поведением индивида, ка</w:t>
      </w:r>
      <w:r w:rsidR="00AD4628">
        <w:rPr>
          <w:rFonts w:ascii="Times New Roman" w:hAnsi="Times New Roman"/>
          <w:sz w:val="28"/>
          <w:szCs w:val="28"/>
          <w:lang w:val="ru-RU"/>
        </w:rPr>
        <w:t>к внешним, так и внутренним» [1</w:t>
      </w:r>
      <w:r w:rsidRPr="001E27DC">
        <w:rPr>
          <w:rFonts w:ascii="Times New Roman" w:hAnsi="Times New Roman"/>
          <w:sz w:val="28"/>
          <w:szCs w:val="28"/>
          <w:lang w:val="ru-RU"/>
        </w:rPr>
        <w:t>2, Электронный ресурс].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Проводя анализ профессионального самоопределения,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Атутов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П.Р. </w:t>
      </w:r>
      <w:proofErr w:type="gramStart"/>
      <w:r w:rsidRPr="001E27DC">
        <w:rPr>
          <w:rFonts w:ascii="Times New Roman" w:hAnsi="Times New Roman"/>
          <w:sz w:val="28"/>
          <w:szCs w:val="28"/>
          <w:lang w:val="ru-RU"/>
        </w:rPr>
        <w:t>и  Е.А.</w:t>
      </w:r>
      <w:proofErr w:type="gramEnd"/>
      <w:r w:rsidRPr="001E27DC">
        <w:rPr>
          <w:rFonts w:ascii="Times New Roman" w:hAnsi="Times New Roman"/>
          <w:sz w:val="28"/>
          <w:szCs w:val="28"/>
          <w:lang w:val="ru-RU"/>
        </w:rPr>
        <w:t xml:space="preserve"> Климов считают этот процесс «как важное проявление психического развития, как активный поиск возможностей развития, формирования себя как полноценного участника сообщества делателей чего-то полезного, сообщества профессионалов». Климов неоднократно подчёркивает, что «профессиональное самоопределение не сводится к одномоментному акту выбора профессии и не заканчивается завершением профессиональной подготовки по избранной специальности, оно продолжается на протяжении всей профессиональной жизни». Уточнение данного понятия с различных точек зрения позволяет в общем виде интерпретировать самоопределение как способность человека к самостоятельному</w:t>
      </w:r>
      <w:r w:rsidR="00AD4628">
        <w:rPr>
          <w:rFonts w:ascii="Times New Roman" w:hAnsi="Times New Roman"/>
          <w:sz w:val="28"/>
          <w:szCs w:val="28"/>
          <w:lang w:val="ru-RU"/>
        </w:rPr>
        <w:t xml:space="preserve"> построению собственной жизни [1</w:t>
      </w:r>
      <w:r w:rsidRPr="001E27DC">
        <w:rPr>
          <w:rFonts w:ascii="Times New Roman" w:hAnsi="Times New Roman"/>
          <w:sz w:val="28"/>
          <w:szCs w:val="28"/>
          <w:lang w:val="ru-RU"/>
        </w:rPr>
        <w:t>3, 13].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По мнению отечественного психолога Э.Ф.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Зеера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профессиональное самоопределение является сложным, многомерным и длительным процессом поиска личностью своего места в мире профессий.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Зеер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 считал, что профессиональное самоопределение - это отношение к себе как к субъекту определенной деятельности, сопоставление своих физических и интеллектуальных сил и способностей, интересов и склонностей, ценностных ориентаций и установок с требованиями пр</w:t>
      </w:r>
      <w:r w:rsidR="00AD4628">
        <w:rPr>
          <w:rFonts w:ascii="Times New Roman" w:hAnsi="Times New Roman"/>
          <w:sz w:val="28"/>
          <w:szCs w:val="28"/>
          <w:lang w:val="ru-RU"/>
        </w:rPr>
        <w:t>офессиональной деятельности» [14</w:t>
      </w:r>
      <w:r w:rsidRPr="001E27DC">
        <w:rPr>
          <w:rFonts w:ascii="Times New Roman" w:hAnsi="Times New Roman"/>
          <w:sz w:val="28"/>
          <w:szCs w:val="28"/>
          <w:lang w:val="ru-RU"/>
        </w:rPr>
        <w:t>, 55].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С.Н. Чистякова рассматривает профессиональное самоопределение как «активную деятельность, принимающую то, или иное содержание, в зависимости от этапа развития». Это многоступенчатый процесс, который можно </w:t>
      </w:r>
      <w:r w:rsidRPr="001E27DC">
        <w:rPr>
          <w:rFonts w:ascii="Times New Roman" w:hAnsi="Times New Roman"/>
          <w:sz w:val="28"/>
          <w:szCs w:val="28"/>
          <w:lang w:val="ru-RU"/>
        </w:rPr>
        <w:lastRenderedPageBreak/>
        <w:t>рассматривать: 1) как серию задач, которые ставит общество перед личностью, – социологический подход; 2) как процесс поэтапного принятия решений, посредством которых индивид формирует баланс между собственными предпочтениями и потребностями системы разделения труда в обществе, – социально - психологический подход; 3) как процесс формирования индивидуального стиля жизни, частью которого является профессиональная деятельность, – дифференциа</w:t>
      </w:r>
      <w:r w:rsidR="00AD4628">
        <w:rPr>
          <w:rFonts w:ascii="Times New Roman" w:hAnsi="Times New Roman"/>
          <w:sz w:val="28"/>
          <w:szCs w:val="28"/>
          <w:lang w:val="ru-RU"/>
        </w:rPr>
        <w:t>льно- психологический подход [1</w:t>
      </w:r>
      <w:r w:rsidRPr="001E27DC">
        <w:rPr>
          <w:rFonts w:ascii="Times New Roman" w:hAnsi="Times New Roman"/>
          <w:sz w:val="28"/>
          <w:szCs w:val="28"/>
          <w:lang w:val="ru-RU"/>
        </w:rPr>
        <w:t>5, 22].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Значительный вклад в развитие профессионального самоопределения внес Н.С.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Пряжников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 xml:space="preserve">. Он утверждает, что главной целью профессионального самоопределения является формирование у школьников готовности к осознанному и самостоятельному построению, реализации перспектив своего развития, а </w:t>
      </w:r>
      <w:proofErr w:type="gramStart"/>
      <w:r w:rsidRPr="001E27DC">
        <w:rPr>
          <w:rFonts w:ascii="Times New Roman" w:hAnsi="Times New Roman"/>
          <w:sz w:val="28"/>
          <w:szCs w:val="28"/>
          <w:lang w:val="ru-RU"/>
        </w:rPr>
        <w:t>так же</w:t>
      </w:r>
      <w:proofErr w:type="gramEnd"/>
      <w:r w:rsidRPr="001E27DC">
        <w:rPr>
          <w:rFonts w:ascii="Times New Roman" w:hAnsi="Times New Roman"/>
          <w:sz w:val="28"/>
          <w:szCs w:val="28"/>
          <w:lang w:val="ru-RU"/>
        </w:rPr>
        <w:t xml:space="preserve"> готовности рассматривать себя развивающимся по времени и самостоятельно находить личностно-значимые смыслы в конкретной профессиональной деятельности». По мнению </w:t>
      </w:r>
      <w:proofErr w:type="spellStart"/>
      <w:r w:rsidRPr="001E27DC">
        <w:rPr>
          <w:rFonts w:ascii="Times New Roman" w:hAnsi="Times New Roman"/>
          <w:sz w:val="28"/>
          <w:szCs w:val="28"/>
          <w:lang w:val="ru-RU"/>
        </w:rPr>
        <w:t>Пряжникова</w:t>
      </w:r>
      <w:proofErr w:type="spellEnd"/>
      <w:r w:rsidRPr="001E27DC">
        <w:rPr>
          <w:rFonts w:ascii="Times New Roman" w:hAnsi="Times New Roman"/>
          <w:sz w:val="28"/>
          <w:szCs w:val="28"/>
          <w:lang w:val="ru-RU"/>
        </w:rPr>
        <w:t>, сущностью профессионального самоопределения, является «самостоятельное и осознанное нахождение смыслов выполняемой работы и всей жизнедеятельности в конкретной культурно-исторической (социаль</w:t>
      </w:r>
      <w:r w:rsidR="00AD4628">
        <w:rPr>
          <w:rFonts w:ascii="Times New Roman" w:hAnsi="Times New Roman"/>
          <w:sz w:val="28"/>
          <w:szCs w:val="28"/>
          <w:lang w:val="ru-RU"/>
        </w:rPr>
        <w:t>но- экономической) ситуации» [16</w:t>
      </w:r>
      <w:r w:rsidRPr="001E27DC">
        <w:rPr>
          <w:rFonts w:ascii="Times New Roman" w:hAnsi="Times New Roman"/>
          <w:sz w:val="28"/>
          <w:szCs w:val="28"/>
          <w:lang w:val="ru-RU"/>
        </w:rPr>
        <w:t>, 47].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А.А. Леонтьев рассматривает профессиональное самоопределение как «сложный динамический процесс формирования личностью системы своих основополагающих отношений к профессионально-трудовой среде, развития и самореализации духовных и физических возможностей, формирования им адекватных профессиональный намерений и планов, реалистического образа себя как профес</w:t>
      </w:r>
      <w:r w:rsidR="00AD4628">
        <w:rPr>
          <w:rFonts w:ascii="Times New Roman" w:hAnsi="Times New Roman"/>
          <w:sz w:val="28"/>
          <w:szCs w:val="28"/>
          <w:lang w:val="ru-RU"/>
        </w:rPr>
        <w:t>сионала» [1</w:t>
      </w:r>
      <w:r w:rsidRPr="001E27DC">
        <w:rPr>
          <w:rFonts w:ascii="Times New Roman" w:hAnsi="Times New Roman"/>
          <w:sz w:val="28"/>
          <w:szCs w:val="28"/>
          <w:lang w:val="ru-RU"/>
        </w:rPr>
        <w:t>7, 67].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 xml:space="preserve">Т.В. Кудрявцев предлагает рассматривать профессиональное самоопределение не как одномоментный акт, а как «растянутый во времени и пространстве процесс, который в первом приближении состоит из следующих этапов: профессиональная ориентация по широкому кругу трудовой занятости </w:t>
      </w:r>
      <w:r w:rsidRPr="001E27DC">
        <w:rPr>
          <w:rFonts w:ascii="Times New Roman" w:hAnsi="Times New Roman"/>
          <w:sz w:val="28"/>
          <w:szCs w:val="28"/>
          <w:lang w:val="ru-RU"/>
        </w:rPr>
        <w:lastRenderedPageBreak/>
        <w:t>людей и их профессий; формирование профессиональных намерений; выбор профессии; закрепление профессионального выбора; активное и сознательное овладение профессией; продуктивная творческая трудовая деятельность по полученной профессии; стремление расширить свой профессиональный диапазон путем получения дополнительного образования; установка на достижение уровня профессионального мастерства; стремление продвинуться по службе; готовность к освоению смежной профессии; активное освоение новой профессии; адаптация к новой профессии в случае вынужденной смены прежней». Профессиональное самоопределение, по его мнению, является одним из «личностных качеств человека, подлежащих формированию и проявляющемуся в сложном и динамично изменяющемся мире профессий, сопровождающееся критическим и конструктивным отношением к себе как субъекту определенной деятельности, поддержанием своих физических и интеллектуальных сил, интересов и склонностей, ценностных ориентаций и установок на уровне требований динамичн</w:t>
      </w:r>
      <w:r w:rsidR="00AD4628">
        <w:rPr>
          <w:rFonts w:ascii="Times New Roman" w:hAnsi="Times New Roman"/>
          <w:sz w:val="28"/>
          <w:szCs w:val="28"/>
          <w:lang w:val="ru-RU"/>
        </w:rPr>
        <w:t>о изменяющегося рынка труда» [1</w:t>
      </w:r>
      <w:r w:rsidRPr="001E27DC">
        <w:rPr>
          <w:rFonts w:ascii="Times New Roman" w:hAnsi="Times New Roman"/>
          <w:sz w:val="28"/>
          <w:szCs w:val="28"/>
          <w:lang w:val="ru-RU"/>
        </w:rPr>
        <w:t>8, 91].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Е.А. Климов подчеркивает, что «результатом профессионального самоопределения по итогам развития ребенка в школе должна быть готовность к выбору профессии, обдумыванию, придумыванию, проектированию вариантов профессиональных жизненных путей, относительно реалистичный и положительно э</w:t>
      </w:r>
      <w:r w:rsidR="00AD4628">
        <w:rPr>
          <w:rFonts w:ascii="Times New Roman" w:hAnsi="Times New Roman"/>
          <w:sz w:val="28"/>
          <w:szCs w:val="28"/>
          <w:lang w:val="ru-RU"/>
        </w:rPr>
        <w:t>моционально окрашенный план» [1</w:t>
      </w:r>
      <w:r w:rsidRPr="001E27DC">
        <w:rPr>
          <w:rFonts w:ascii="Times New Roman" w:hAnsi="Times New Roman"/>
          <w:sz w:val="28"/>
          <w:szCs w:val="28"/>
          <w:lang w:val="ru-RU"/>
        </w:rPr>
        <w:t>9,55].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В данном исследовании мы определим составляющие профессионального самоопределения следующим образом: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t>Гармоничное сочетание предложенных компонентов во многом определяет успешность профессионального самоопределения. Однако, чтобы сделать правильный выбор необходимо учесть факторы, влияющие на профессиональный выбор учащихся.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27DC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Таким образом, профессиональное самоопределение учащихся – это динамический процесс, направленный на поиск профессиональных предпочтений и построение траектории профессионального развития в соответствии с личностными особенностями, возможностями и запросами современного рынка труда. Профессиональное самоопределение осуществляется в течение всей профессиональной жизни. Человек в процессе профессионального развития пересматривает взгляды на профессию в своей жизни в соответствии с различными событиями. На формирование профессионального самоопределения подростков большое влияние оказывают такие факторы как: возрастные особенности, личностное развитие, межличностные отношения, социально-экономические условия и т.п. В связи с этим, профессиональное самоопределение включает в себя ряд </w:t>
      </w:r>
      <w:proofErr w:type="gramStart"/>
      <w:r w:rsidRPr="001E27DC">
        <w:rPr>
          <w:rFonts w:ascii="Times New Roman" w:hAnsi="Times New Roman"/>
          <w:sz w:val="28"/>
          <w:szCs w:val="28"/>
          <w:lang w:val="ru-RU"/>
        </w:rPr>
        <w:t>проблем</w:t>
      </w:r>
      <w:proofErr w:type="gramEnd"/>
      <w:r w:rsidRPr="001E27DC">
        <w:rPr>
          <w:rFonts w:ascii="Times New Roman" w:hAnsi="Times New Roman"/>
          <w:sz w:val="28"/>
          <w:szCs w:val="28"/>
          <w:lang w:val="ru-RU"/>
        </w:rPr>
        <w:t xml:space="preserve"> возникающих перед личностью и требующих решения, а именно: анализа собственных профессиональных возможностей, осознанного выбора будущей профессии, нахождение путей осуществления выбора профессии, стремления к действию </w:t>
      </w:r>
      <w:r w:rsidR="00AD4628">
        <w:rPr>
          <w:rFonts w:ascii="Times New Roman" w:hAnsi="Times New Roman"/>
          <w:sz w:val="28"/>
          <w:szCs w:val="28"/>
          <w:lang w:val="ru-RU"/>
        </w:rPr>
        <w:t>и прочих внутренних ресурсов [20</w:t>
      </w:r>
      <w:r w:rsidRPr="001E27DC">
        <w:rPr>
          <w:rFonts w:ascii="Times New Roman" w:hAnsi="Times New Roman"/>
          <w:sz w:val="28"/>
          <w:szCs w:val="28"/>
          <w:lang w:val="ru-RU"/>
        </w:rPr>
        <w:t>, 81].</w:t>
      </w:r>
    </w:p>
    <w:p w:rsid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27DC">
        <w:rPr>
          <w:rFonts w:ascii="Times New Roman" w:hAnsi="Times New Roman"/>
          <w:b/>
          <w:sz w:val="28"/>
          <w:szCs w:val="28"/>
          <w:lang w:val="ru-RU"/>
        </w:rPr>
        <w:t>Список литературы.</w:t>
      </w:r>
    </w:p>
    <w:p w:rsidR="001E27DC" w:rsidRPr="001E27DC" w:rsidRDefault="001E27DC" w:rsidP="001E27DC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>Чебышева В.В.</w:t>
            </w:r>
            <w:r w:rsidRPr="001E27DC">
              <w:rPr>
                <w:rFonts w:ascii="Times New Roman" w:eastAsiaTheme="minorHAnsi" w:hAnsi="Times New Roman" w:cstheme="minorBidi"/>
                <w:sz w:val="28"/>
                <w:szCs w:val="28"/>
              </w:rPr>
              <w:t> </w:t>
            </w:r>
            <w:r w:rsidRPr="001E27DC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>Классификация профессий и профориентация / В.В.</w:t>
            </w:r>
            <w:r w:rsidRPr="001E27DC">
              <w:rPr>
                <w:rFonts w:ascii="Times New Roman" w:eastAsiaTheme="minorHAnsi" w:hAnsi="Times New Roman" w:cstheme="minorBidi"/>
                <w:sz w:val="28"/>
                <w:szCs w:val="28"/>
              </w:rPr>
              <w:t> </w:t>
            </w:r>
            <w:r w:rsidRPr="001E27DC"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  <w:t>Чебышева // Вопросы психологии – 2021. – № 4. – С. 143-148.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Амирова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JI. А. Подготовка старшеклассника к выбору профессии в условиях современных социально-экономических отношений (аксиологический подход):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Дисс</w:t>
            </w:r>
            <w:proofErr w:type="spellEnd"/>
            <w:proofErr w:type="gram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. .</w:t>
            </w:r>
            <w:proofErr w:type="gram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канд.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пед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. наук. — Уфа, 2007. - 177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Бугакова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 Ю. Педагогические условия формирования и развития готовности старшеклассников к выбору профессии: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Дисс</w:t>
            </w:r>
            <w:proofErr w:type="spellEnd"/>
            <w:proofErr w:type="gram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. .</w:t>
            </w:r>
            <w:proofErr w:type="gram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канд.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пед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. наук. — Калининград, 2007. - 144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Бехтерев В.М. Сознание и его границы. — Казань: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Китаплар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книги, 2018.- 205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Сазонов А. Д. Профориентация учащихся в советской школе: Учебное пособие. — Челябинск: ЧГПИ, 2014. — 334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Симоненко В. Д., Сазонов А. Д., Аванесов В. С.,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Бухалов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Б. И. Профессиональная ориентация учащихся. — М.: Просвещение, 1988.— 233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Аверичев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Ю.,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Копанева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Э. Ценный опыт профессиональной ориентации сельских школьников. — Народное </w:t>
            </w:r>
            <w:proofErr w:type="gram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образование.—</w:t>
            </w:r>
            <w:proofErr w:type="gram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1970. -№5. — С. 88.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Семенов В. Е. Метод изучения документов в социально-психологических исследованиях: Учеб. пособие. — Л.: Изд-во ЛГУ, 2013, -105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Ожегов С.И. Толковый словарь русского </w:t>
            </w:r>
            <w:proofErr w:type="gram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языка :</w:t>
            </w:r>
            <w:proofErr w:type="gram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100000 слов, терминов и выражений. – М.: Мир и образование, 2015. – 1375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Кухарчук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A.M.,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Ценципер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А.Б. Профессиональное самоопределение учащихся. – Минск: Нар.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асвета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, 1976.- 209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Пряжников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 С. Профессиональное и личностное самоопределение. — М.: Институт практической психологии, 2006. — 256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Рейдмонд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Кеттел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«Личностное и мотивационное структурное измерение», </w:t>
            </w:r>
            <w:hyperlink r:id="rId4" w:history="1">
              <w:r w:rsidRPr="001E27DC">
                <w:rPr>
                  <w:rFonts w:ascii="Times New Roman" w:hAnsi="Times New Roman"/>
                  <w:sz w:val="28"/>
                  <w:szCs w:val="28"/>
                  <w:lang w:val="ru-RU"/>
                </w:rPr>
                <w:t>https://test-kettella.ru/psihologiya/strukturnaya-teoriya-kettela.htm</w:t>
              </w:r>
            </w:hyperlink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Атутов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 Р., Климов Е. А. Проблемы психологического обеспечения подготовки молодежи к труду и выбору профессии. - Вопросы психологии. - 2004. - № 1. С. 13-19.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Зеер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Э.Ф., Павлова, А.М.,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Садовникова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Н.О.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Профориентология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. – М.: Академический проект, 2006. -158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Чистякова С. И. Твоя профессиональная карьера. — М.: Просвещение, 2017. — 189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Пряжников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 С. Карточные </w:t>
            </w:r>
            <w:proofErr w:type="spell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профконсультационные</w:t>
            </w:r>
            <w:proofErr w:type="spell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методики. — М.: Институт практической психологии, 2003. — 72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Леонтьев А. А. Психолингвистические единицы и порождение речевого высказывания. — М.: Наука, 2019. — 304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Кудрявцев Т.В. Психология технического мышления. Процесс и способы решения технических задач</w:t>
            </w:r>
            <w:proofErr w:type="gramStart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).-</w:t>
            </w:r>
            <w:proofErr w:type="gramEnd"/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Москва: Издательство «Педагогика», 1975. 235 с.</w:t>
            </w:r>
          </w:p>
        </w:tc>
      </w:tr>
      <w:tr w:rsidR="001E27DC" w:rsidRPr="001E27DC" w:rsidTr="00AD4628">
        <w:tc>
          <w:tcPr>
            <w:tcW w:w="846" w:type="dxa"/>
          </w:tcPr>
          <w:p w:rsidR="001E27DC" w:rsidRPr="001E27DC" w:rsidRDefault="00AD4628" w:rsidP="001E27D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1E27DC" w:rsidRPr="001E2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930" w:type="dxa"/>
          </w:tcPr>
          <w:p w:rsidR="001E27DC" w:rsidRPr="001E27DC" w:rsidRDefault="001E27DC" w:rsidP="001E27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7DC">
              <w:rPr>
                <w:rFonts w:ascii="Times New Roman" w:hAnsi="Times New Roman"/>
                <w:sz w:val="28"/>
                <w:szCs w:val="28"/>
                <w:lang w:val="ru-RU"/>
              </w:rPr>
              <w:t>Климов Е. А. Психология профессионального самоопределения. - Ростов н/Дону: Феникс, 2016. — 512 с.</w:t>
            </w:r>
          </w:p>
        </w:tc>
      </w:tr>
      <w:tr w:rsidR="00AD4628" w:rsidRPr="00266BBE" w:rsidTr="00AD4628">
        <w:tc>
          <w:tcPr>
            <w:tcW w:w="846" w:type="dxa"/>
          </w:tcPr>
          <w:p w:rsidR="00AD4628" w:rsidRDefault="00AD4628" w:rsidP="00E1395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8930" w:type="dxa"/>
          </w:tcPr>
          <w:p w:rsidR="00AD4628" w:rsidRPr="00266BBE" w:rsidRDefault="00AD4628" w:rsidP="00E139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66BBE">
              <w:rPr>
                <w:rFonts w:ascii="Times New Roman" w:hAnsi="Times New Roman"/>
                <w:sz w:val="28"/>
                <w:szCs w:val="28"/>
                <w:lang w:val="ru-RU"/>
              </w:rPr>
              <w:t>Абульханова-Славская</w:t>
            </w:r>
            <w:proofErr w:type="spellEnd"/>
            <w:r w:rsidRPr="00266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 А. Стратегия жизни. — М.: Мысль, 1991. — 299 с.</w:t>
            </w:r>
          </w:p>
        </w:tc>
      </w:tr>
    </w:tbl>
    <w:p w:rsidR="00A46F6F" w:rsidRPr="001E27DC" w:rsidRDefault="00A46F6F">
      <w:pPr>
        <w:rPr>
          <w:lang w:val="ru-RU"/>
        </w:rPr>
      </w:pPr>
      <w:bookmarkStart w:id="0" w:name="_GoBack"/>
      <w:bookmarkEnd w:id="0"/>
    </w:p>
    <w:sectPr w:rsidR="00A46F6F" w:rsidRPr="001E27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33"/>
    <w:rsid w:val="001E27DC"/>
    <w:rsid w:val="003C6F33"/>
    <w:rsid w:val="00A46F6F"/>
    <w:rsid w:val="00A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6CF2"/>
  <w15:chartTrackingRefBased/>
  <w15:docId w15:val="{DA5E6F17-C59E-493E-B7E1-57E1FD2F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-kettella.ru/psihologiya/strukturnaya-teoriya-kettel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2023-06-11T11:03:00Z</dcterms:created>
  <dcterms:modified xsi:type="dcterms:W3CDTF">2023-06-11T11:23:00Z</dcterms:modified>
</cp:coreProperties>
</file>