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B3" w:rsidRPr="004B02B3" w:rsidRDefault="004B02B3" w:rsidP="004B02B3">
      <w:pPr>
        <w:suppressAutoHyphens/>
        <w:spacing w:line="240" w:lineRule="auto"/>
        <w:jc w:val="center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b/>
          <w:sz w:val="28"/>
          <w:szCs w:val="22"/>
        </w:rPr>
        <w:t>Роль творческой игры в коррекционной работе с детьми</w:t>
      </w:r>
    </w:p>
    <w:p w:rsidR="004B02B3" w:rsidRPr="004B02B3" w:rsidRDefault="004B02B3" w:rsidP="004B02B3">
      <w:pPr>
        <w:suppressAutoHyphens/>
        <w:spacing w:line="240" w:lineRule="auto"/>
        <w:jc w:val="center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b/>
          <w:sz w:val="28"/>
          <w:szCs w:val="22"/>
        </w:rPr>
        <w:t>(игры – имитации).</w:t>
      </w:r>
    </w:p>
    <w:p w:rsidR="004B02B3" w:rsidRPr="004B02B3" w:rsidRDefault="004B02B3" w:rsidP="004B02B3">
      <w:pPr>
        <w:suppressAutoHyphens/>
        <w:spacing w:line="240" w:lineRule="auto"/>
        <w:jc w:val="center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b/>
          <w:sz w:val="28"/>
          <w:szCs w:val="22"/>
        </w:rPr>
        <w:t>(из опыта работы)</w:t>
      </w:r>
    </w:p>
    <w:p w:rsidR="004B02B3" w:rsidRPr="004B02B3" w:rsidRDefault="004B02B3" w:rsidP="004B02B3">
      <w:pPr>
        <w:suppressAutoHyphens/>
        <w:spacing w:line="240" w:lineRule="auto"/>
        <w:jc w:val="center"/>
        <w:rPr>
          <w:rFonts w:ascii="Times New Roman" w:eastAsia="Calibri" w:hAnsi="Times New Roman"/>
          <w:color w:val="383119"/>
          <w:sz w:val="28"/>
          <w:szCs w:val="28"/>
          <w:highlight w:val="white"/>
        </w:rPr>
      </w:pPr>
    </w:p>
    <w:p w:rsidR="004B02B3" w:rsidRPr="004B02B3" w:rsidRDefault="004B02B3" w:rsidP="004B02B3">
      <w:pPr>
        <w:suppressAutoHyphens/>
        <w:spacing w:line="240" w:lineRule="auto"/>
        <w:jc w:val="right"/>
        <w:rPr>
          <w:rFonts w:ascii="Times New Roman" w:eastAsia="Calibri" w:hAnsi="Times New Roman" w:cs="font45"/>
          <w:sz w:val="28"/>
          <w:szCs w:val="22"/>
          <w:lang w:val="en-GB"/>
        </w:rPr>
      </w:pPr>
      <w:r>
        <w:rPr>
          <w:rFonts w:ascii="Times New Roman" w:eastAsia="Calibri" w:hAnsi="Times New Roman"/>
          <w:i/>
          <w:iCs/>
          <w:color w:val="383119"/>
          <w:sz w:val="28"/>
          <w:szCs w:val="28"/>
          <w:shd w:val="clear" w:color="auto" w:fill="FFFFFF"/>
        </w:rPr>
        <w:t xml:space="preserve">Сайбекова Анастасия Игоревна </w:t>
      </w:r>
    </w:p>
    <w:p w:rsidR="004B02B3" w:rsidRPr="004B02B3" w:rsidRDefault="004B02B3" w:rsidP="004B02B3">
      <w:pPr>
        <w:suppressAutoHyphens/>
        <w:spacing w:line="240" w:lineRule="auto"/>
        <w:jc w:val="right"/>
        <w:rPr>
          <w:rFonts w:ascii="Times New Roman" w:eastAsia="Calibri" w:hAnsi="Times New Roman" w:cs="font45"/>
          <w:sz w:val="28"/>
          <w:szCs w:val="22"/>
        </w:rPr>
      </w:pPr>
      <w:r>
        <w:rPr>
          <w:rFonts w:ascii="Times New Roman" w:eastAsia="Calibri" w:hAnsi="Times New Roman"/>
          <w:i/>
          <w:iCs/>
          <w:color w:val="383119"/>
          <w:sz w:val="28"/>
          <w:szCs w:val="28"/>
          <w:shd w:val="clear" w:color="auto" w:fill="FFFFFF"/>
        </w:rPr>
        <w:t xml:space="preserve">Логопед </w:t>
      </w:r>
    </w:p>
    <w:p w:rsidR="004B02B3" w:rsidRPr="004B02B3" w:rsidRDefault="004B02B3" w:rsidP="004B02B3">
      <w:pPr>
        <w:suppressAutoHyphens/>
        <w:spacing w:line="240" w:lineRule="auto"/>
        <w:jc w:val="right"/>
        <w:rPr>
          <w:rFonts w:ascii="Times New Roman" w:eastAsia="Calibri" w:hAnsi="Times New Roman" w:cs="font45"/>
          <w:sz w:val="28"/>
          <w:szCs w:val="22"/>
        </w:rPr>
      </w:pPr>
      <w:r>
        <w:rPr>
          <w:rFonts w:ascii="Times New Roman" w:eastAsia="Calibri" w:hAnsi="Times New Roman"/>
          <w:i/>
          <w:iCs/>
          <w:color w:val="383119"/>
          <w:sz w:val="28"/>
          <w:szCs w:val="28"/>
          <w:shd w:val="clear" w:color="auto" w:fill="FFFFFF"/>
        </w:rPr>
        <w:t>ЧДОУ ясли-сад «Еркем-ай»</w:t>
      </w:r>
      <w:r w:rsidRPr="004B02B3">
        <w:rPr>
          <w:rFonts w:ascii="Times New Roman" w:eastAsia="Calibri" w:hAnsi="Times New Roman"/>
          <w:i/>
          <w:iCs/>
          <w:color w:val="383119"/>
          <w:sz w:val="28"/>
          <w:szCs w:val="28"/>
          <w:shd w:val="clear" w:color="auto" w:fill="FFFFFF"/>
        </w:rPr>
        <w:t xml:space="preserve"> </w:t>
      </w:r>
    </w:p>
    <w:p w:rsidR="004B02B3" w:rsidRPr="004B02B3" w:rsidRDefault="004B02B3" w:rsidP="004B02B3">
      <w:pPr>
        <w:suppressAutoHyphens/>
        <w:spacing w:line="240" w:lineRule="auto"/>
        <w:jc w:val="right"/>
        <w:rPr>
          <w:rFonts w:ascii="Times New Roman" w:eastAsia="Calibri" w:hAnsi="Times New Roman" w:cs="font45"/>
          <w:sz w:val="28"/>
          <w:szCs w:val="22"/>
        </w:rPr>
      </w:pPr>
      <w:r>
        <w:rPr>
          <w:rFonts w:ascii="Times New Roman" w:eastAsia="Calibri" w:hAnsi="Times New Roman"/>
          <w:i/>
          <w:iCs/>
          <w:color w:val="383119"/>
          <w:sz w:val="28"/>
          <w:szCs w:val="28"/>
          <w:shd w:val="clear" w:color="auto" w:fill="FFFFFF"/>
        </w:rPr>
        <w:t xml:space="preserve">Северо-Казахстанской области ,город Петропавловск </w:t>
      </w:r>
    </w:p>
    <w:p w:rsidR="004B02B3" w:rsidRPr="004B02B3" w:rsidRDefault="004B02B3" w:rsidP="004B02B3">
      <w:pPr>
        <w:suppressAutoHyphens/>
        <w:spacing w:line="240" w:lineRule="auto"/>
        <w:jc w:val="center"/>
        <w:rPr>
          <w:rFonts w:ascii="Times New Roman" w:eastAsia="Calibri" w:hAnsi="Times New Roman" w:cs="font45"/>
          <w:b/>
          <w:sz w:val="28"/>
          <w:szCs w:val="22"/>
        </w:rPr>
      </w:pPr>
    </w:p>
    <w:p w:rsidR="004B02B3" w:rsidRPr="004B02B3" w:rsidRDefault="004B02B3" w:rsidP="004B02B3">
      <w:pPr>
        <w:suppressAutoHyphens/>
        <w:spacing w:line="240" w:lineRule="auto"/>
        <w:ind w:firstLine="708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Известно, что дети с речевой патологией имеют нарушение темпо-ритмической организации, развитие</w:t>
      </w:r>
      <w:bookmarkStart w:id="0" w:name="_GoBack"/>
      <w:bookmarkEnd w:id="0"/>
      <w:r w:rsidRPr="004B02B3">
        <w:rPr>
          <w:rFonts w:ascii="Times New Roman" w:eastAsia="Calibri" w:hAnsi="Times New Roman" w:cs="font45"/>
          <w:sz w:val="28"/>
          <w:szCs w:val="22"/>
        </w:rPr>
        <w:t xml:space="preserve"> которой успешно осуществляется в театрализованных играх. Они помогают детям освободиться от фиксации на своём дефекте; их можно использовать для развития общей и речевой моторики, как средство коррекции речи, как активное средство психотерапии. Я организую эти игры почти на каждом логопедическом занятии.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У детей логопедических групп бедная мимика, невыразительные, плохо скоординированные движения, слабо развито чувство ритма, поэтому уже на самом первом уровне работы я даю игровые упражнения, направленные на выработку мимики, жестов и пантомимики, что является прологом к будущим театрализованным играм. В работу включаю упражнения по развитию мимики: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«Съели кислый лимон» (дети морщатся), «Рассердились на драчуна» (сдвинули брови), «Встретили знакомую девочку» (улыбаются), «Испугались забияку» (приподнимают брови) широко открывают глаза, приоткрывают рот) и др.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Включаю  игровые упражнения по обучению жестам: «Покажите высокого мальчика» (низкого ), (вверх, вниз, вокруг; я, ты, мы; маленького комарика, медведя).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Игровые упражнения по развитию пантомимики: «Расцвели, как цветы», «Завяли как травка» и др.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Благодаря этим систематически проводимым упражнениям подвижнее и выразительнее становится мимика, движения приобретают  уверенность, дети легче переключаются с одного движения на другое. Учатся понимать оттенки в выражении лица, в жестах и движениях человека.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На втором этапе  я использую такие приёмы, как сопровождение моих действий и действий детей словами. Затем перехожу к театрализованным играм. Дети заранее с воспитателем заучивают стихи, прибаутки, потешки, тексты, выбранные мной, учатся вождению кукол (настольных, плоскостных и т.д.)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Стараюсь подбирать речевой материал, насыщенный глагольной лексикой, так детям легче показать разнообразные движения.  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Например:  Ну-ка, зайка, поскачи, поскачи,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                  Лапкой, лапкой постучи, постучи.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После театрализованной игры я задаю детям вопросы: Как выглядит зайчик ? Что он умеет делать? Кого он боится? Ситуацию речевого общения иногда усложняю, введя в игру куклу. Дети с удовольствием вступают в беседу, отгадывают загадки, описывают предметы, которые куклы предлагают им рассмотреть.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lastRenderedPageBreak/>
        <w:t xml:space="preserve"> 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 xml:space="preserve">На третьем этапе дети овладевают умением отвечать на вопросы, пояснять, рассказывать без наглядной опоры на предмет или действие. Этому этапу работы 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соответствует  настольная театрализованная  игра «Петушок и кот». Вопросы формулирую таким образом, чтобы, отвечая на них, дети использовали имеющиеся у них знания и представления. «Почему котёнок вылез из дымохода чёрным? Почему он стал белым?» и т.д.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На следующем этапе я подвожу детей к более сложному виду театрализованной игры. Я даю детям возможность ходить вместе с куклой по группе, самостоятельно выполнять различные движения, ориентироваться в пространстве, активизировать речь в более сложных диалогах: «Волк и лиса» и т.д. Для решения психокоррекционных задач на роль волка, лисы выбираю неуверенных в себе, робких детей.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В театрализованных играх  в интересной для детей форме можно решать различные речевые задачи.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 Например, для театра на фланелеграфе можно использовать такой текст: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-ответь мне, цветок,ты кто он или она?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-а я, брат-шмель, и сам не пойму.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-как это не знаешь? Вот, например, ландыш-он.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-то ландыш.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-а вот, например, ромашка-она.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-а ты кто такой?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-я-то? Да я, шмель, Иван – да – Марья.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>После я задаю вопрос: «Кто же этот цветок?- он или она ?» (и он , и она). По аналогии дети определяют род имён существительных обозначающих названия цветов: ромашка, ландыш и др.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На четвёртом и пятом этапе, когда развивается речь без зрительной опоры, когда закрепляются навыки связной речи, я разыгрываю с детьми театрализованные игры по знакомым им произведениям. Дети не боятся выступать перед зрителями.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На занятиях я использую разные по жанру литературные тексты. Один и тот же текст мои дети инсценируют в разных видах театра. В заключении хотелось бы сказать, что широко используя театрализованные игры, я не отвергаю другие методы и приёмы логопедической работы.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</w:t>
      </w:r>
      <w:r w:rsidRPr="004B02B3">
        <w:rPr>
          <w:rFonts w:ascii="Times New Roman" w:eastAsia="Calibri" w:hAnsi="Times New Roman" w:cs="font45"/>
          <w:sz w:val="28"/>
          <w:szCs w:val="22"/>
        </w:rPr>
        <w:tab/>
        <w:t>Театрализованная игра должна стать частью занятия или режимного момента. Проводить такие игры надо систематически. Выбирать и распределять речевой материал необходимо в соответствии с возможностями детей. Через различные виды театра следует развивать у детей мелкую и общую моторику. Подбирать игры для театрализации на первых трёх этапах работы надо по схеме «логопед – дети», на последних двух «ребёнок – дети» (логопед выступает в роли ненавязчивого посредника, режиссёра).</w:t>
      </w:r>
    </w:p>
    <w:p w:rsidR="004B02B3" w:rsidRPr="004B02B3" w:rsidRDefault="004B02B3" w:rsidP="004B02B3">
      <w:pPr>
        <w:suppressAutoHyphens/>
        <w:spacing w:line="240" w:lineRule="auto"/>
        <w:rPr>
          <w:rFonts w:ascii="Times New Roman" w:eastAsia="Calibri" w:hAnsi="Times New Roman" w:cs="font45"/>
          <w:sz w:val="28"/>
          <w:szCs w:val="22"/>
        </w:rPr>
      </w:pPr>
      <w:r w:rsidRPr="004B02B3">
        <w:rPr>
          <w:rFonts w:ascii="Times New Roman" w:eastAsia="Calibri" w:hAnsi="Times New Roman" w:cs="font45"/>
          <w:sz w:val="28"/>
          <w:szCs w:val="22"/>
        </w:rPr>
        <w:t xml:space="preserve">  Театрализованные игры целесообразно использовать и как средство для преодоления речебоязни.</w:t>
      </w:r>
    </w:p>
    <w:p w:rsidR="00961E5D" w:rsidRDefault="00961E5D"/>
    <w:sectPr w:rsidR="00961E5D" w:rsidSect="004B02B3">
      <w:pgSz w:w="11906" w:h="16838"/>
      <w:pgMar w:top="851" w:right="851" w:bottom="851" w:left="1418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5">
    <w:panose1 w:val="020B0604020202020204"/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B3"/>
    <w:rsid w:val="004B02B3"/>
    <w:rsid w:val="004D2A74"/>
    <w:rsid w:val="00961E5D"/>
    <w:rsid w:val="00AB0549"/>
    <w:rsid w:val="00F1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1BD"/>
  <w15:chartTrackingRefBased/>
  <w15:docId w15:val="{C4A7C261-07E8-6C47-A468-3F17FB28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qFormat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Pr>
      <w:szCs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Pr>
      <w:b/>
      <w:i/>
      <w:sz w:val="24"/>
    </w:rPr>
  </w:style>
  <w:style w:type="character" w:styleId="ad">
    <w:name w:val="Subtle Emphasis"/>
    <w:uiPriority w:val="19"/>
    <w:qFormat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Pr>
      <w:b/>
      <w:sz w:val="24"/>
      <w:u w:val="single"/>
    </w:rPr>
  </w:style>
  <w:style w:type="character" w:styleId="af1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789E3DF-2EC4-3F4A-B8EA-AEB59169E14C%7dtf0278699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693885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1343183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>102786998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TP102786998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>Beta 1</Mileston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930262-6C9D-4D95-A00E-2D58BBC69CB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193B789-726C-4ECA-9B1D-3D6E78DFE228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1D331F-33A3-4D0C-A96B-AAF4666D5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{7789E3DF-2EC4-3F4A-B8EA-AEB59169E14C}tf02786994_win32.dotx</Template>
  <TotalTime>3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Сайбекова Нася</dc:creator>
  <cp:keywords/>
  <dc:description/>
  <cp:lastModifiedBy>Сайбекова Нася</cp:lastModifiedBy>
  <cp:revision>2</cp:revision>
  <dcterms:created xsi:type="dcterms:W3CDTF">2024-05-29T17:22:00Z</dcterms:created>
  <dcterms:modified xsi:type="dcterms:W3CDTF">2024-05-29T17:22:00Z</dcterms:modified>
</cp:coreProperties>
</file>