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088" w:rsidRDefault="008041E7" w:rsidP="008041E7">
      <w:pPr>
        <w:tabs>
          <w:tab w:val="left" w:pos="2552"/>
        </w:tabs>
        <w:spacing w:after="0" w:line="240" w:lineRule="auto"/>
        <w:ind w:right="-24"/>
        <w:jc w:val="center"/>
        <w:rPr>
          <w:rFonts w:ascii="Times New Roman" w:hAnsi="Times New Roman" w:cs="Times New Roman"/>
          <w:sz w:val="28"/>
          <w:szCs w:val="28"/>
        </w:rPr>
      </w:pPr>
      <w:r w:rsidRPr="00E326C3">
        <w:rPr>
          <w:rFonts w:ascii="Times New Roman" w:hAnsi="Times New Roman" w:cs="Times New Roman"/>
          <w:sz w:val="28"/>
          <w:szCs w:val="28"/>
        </w:rPr>
        <w:t>БОЛАША</w:t>
      </w:r>
      <w:r>
        <w:rPr>
          <w:rFonts w:ascii="Times New Roman" w:hAnsi="Times New Roman" w:cs="Times New Roman"/>
          <w:sz w:val="28"/>
          <w:szCs w:val="28"/>
        </w:rPr>
        <w:t>Қ МҰҒАЛІМДІ БАСТАУЫШ СЫНЫП ОҚУШЫЛАРЫНДА БОЛЖАУ ДАҒДЫЛАРЫН ДАМЫТУҒА</w:t>
      </w:r>
    </w:p>
    <w:p w:rsidR="008041E7" w:rsidRDefault="008041E7" w:rsidP="00F15088">
      <w:pPr>
        <w:tabs>
          <w:tab w:val="left" w:pos="2552"/>
        </w:tabs>
        <w:spacing w:after="0" w:line="240" w:lineRule="auto"/>
        <w:ind w:right="-24"/>
        <w:jc w:val="right"/>
        <w:rPr>
          <w:rFonts w:ascii="Times New Roman" w:eastAsia="Times New Roman" w:hAnsi="Times New Roman" w:cs="Times New Roman"/>
          <w:sz w:val="24"/>
          <w:szCs w:val="24"/>
          <w:shd w:val="clear" w:color="auto" w:fill="FFFFFF"/>
          <w:lang w:val="kk-KZ"/>
        </w:rPr>
      </w:pPr>
    </w:p>
    <w:p w:rsidR="00CE0E96" w:rsidRPr="00C665E1" w:rsidRDefault="00F15088" w:rsidP="00F15088">
      <w:pPr>
        <w:tabs>
          <w:tab w:val="left" w:pos="2552"/>
        </w:tabs>
        <w:spacing w:after="0" w:line="240" w:lineRule="auto"/>
        <w:ind w:right="-24"/>
        <w:jc w:val="right"/>
        <w:rPr>
          <w:rFonts w:ascii="Times New Roman" w:hAnsi="Times New Roman" w:cs="Times New Roman"/>
          <w:sz w:val="28"/>
          <w:szCs w:val="28"/>
        </w:rPr>
      </w:pPr>
      <w:proofErr w:type="spellStart"/>
      <w:r>
        <w:rPr>
          <w:rFonts w:ascii="Times New Roman" w:hAnsi="Times New Roman" w:cs="Times New Roman"/>
          <w:sz w:val="28"/>
          <w:szCs w:val="28"/>
        </w:rPr>
        <w:t>п</w:t>
      </w:r>
      <w:proofErr w:type="gramStart"/>
      <w:r>
        <w:rPr>
          <w:rFonts w:ascii="Times New Roman" w:hAnsi="Times New Roman" w:cs="Times New Roman"/>
          <w:sz w:val="28"/>
          <w:szCs w:val="28"/>
        </w:rPr>
        <w:t>.ғ.</w:t>
      </w:r>
      <w:proofErr w:type="gramEnd"/>
      <w:r>
        <w:rPr>
          <w:rFonts w:ascii="Times New Roman" w:hAnsi="Times New Roman" w:cs="Times New Roman"/>
          <w:sz w:val="28"/>
          <w:szCs w:val="28"/>
        </w:rPr>
        <w:t>д</w:t>
      </w:r>
      <w:proofErr w:type="spellEnd"/>
      <w:r>
        <w:rPr>
          <w:rFonts w:ascii="Times New Roman" w:hAnsi="Times New Roman" w:cs="Times New Roman"/>
          <w:sz w:val="28"/>
          <w:szCs w:val="28"/>
        </w:rPr>
        <w:t xml:space="preserve">., доцент, профессор </w:t>
      </w:r>
      <w:proofErr w:type="spellStart"/>
      <w:r>
        <w:rPr>
          <w:rFonts w:ascii="Times New Roman" w:hAnsi="Times New Roman" w:cs="Times New Roman"/>
          <w:sz w:val="28"/>
          <w:szCs w:val="28"/>
        </w:rPr>
        <w:t>Куламбаева</w:t>
      </w:r>
      <w:proofErr w:type="spellEnd"/>
      <w:r>
        <w:rPr>
          <w:rFonts w:ascii="Times New Roman" w:hAnsi="Times New Roman" w:cs="Times New Roman"/>
          <w:sz w:val="28"/>
          <w:szCs w:val="28"/>
        </w:rPr>
        <w:t xml:space="preserve"> К.К., </w:t>
      </w:r>
      <w:r>
        <w:rPr>
          <w:rFonts w:ascii="Times New Roman" w:hAnsi="Times New Roman" w:cs="Times New Roman"/>
          <w:bCs/>
          <w:sz w:val="28"/>
          <w:szCs w:val="28"/>
        </w:rPr>
        <w:t xml:space="preserve"> </w:t>
      </w:r>
      <w:proofErr w:type="spellStart"/>
      <w:r w:rsidRPr="00E326C3">
        <w:rPr>
          <w:rFonts w:ascii="Times New Roman" w:hAnsi="Times New Roman" w:cs="Times New Roman"/>
          <w:sz w:val="28"/>
          <w:szCs w:val="28"/>
        </w:rPr>
        <w:t>Кабасова</w:t>
      </w:r>
      <w:r>
        <w:rPr>
          <w:rFonts w:ascii="Times New Roman" w:hAnsi="Times New Roman" w:cs="Times New Roman"/>
          <w:sz w:val="28"/>
          <w:szCs w:val="28"/>
        </w:rPr>
        <w:t>Ж.Ж</w:t>
      </w:r>
      <w:proofErr w:type="spellEnd"/>
      <w:r>
        <w:rPr>
          <w:rFonts w:ascii="Times New Roman" w:hAnsi="Times New Roman" w:cs="Times New Roman"/>
          <w:sz w:val="28"/>
          <w:szCs w:val="28"/>
        </w:rPr>
        <w:t>.</w:t>
      </w:r>
    </w:p>
    <w:p w:rsidR="00F2657E" w:rsidRPr="0016698C" w:rsidRDefault="0072779F" w:rsidP="009B2C51">
      <w:pPr>
        <w:pStyle w:val="a3"/>
        <w:spacing w:line="360" w:lineRule="auto"/>
        <w:ind w:left="0" w:right="228"/>
        <w:jc w:val="right"/>
        <w:rPr>
          <w:sz w:val="28"/>
          <w:szCs w:val="28"/>
          <w:shd w:val="clear" w:color="auto" w:fill="FFFFFF"/>
          <w:lang w:val="kk-KZ"/>
        </w:rPr>
      </w:pPr>
      <w:r w:rsidRPr="0016698C">
        <w:rPr>
          <w:sz w:val="28"/>
          <w:szCs w:val="28"/>
          <w:shd w:val="clear" w:color="auto" w:fill="FFFFFF"/>
          <w:lang w:val="kk-KZ"/>
        </w:rPr>
        <w:t>А.Мырзахметов атындағы КУ</w:t>
      </w:r>
    </w:p>
    <w:p w:rsidR="00CE0E96" w:rsidRDefault="00CE0E96" w:rsidP="00270BBD">
      <w:pPr>
        <w:pStyle w:val="a3"/>
        <w:ind w:left="0" w:right="228" w:firstLine="709"/>
        <w:jc w:val="both"/>
        <w:rPr>
          <w:sz w:val="28"/>
          <w:szCs w:val="28"/>
          <w:lang w:val="kk-KZ"/>
        </w:rPr>
      </w:pPr>
    </w:p>
    <w:p w:rsidR="00B240E3" w:rsidRDefault="00B240E3" w:rsidP="00BF7438">
      <w:pPr>
        <w:pStyle w:val="a3"/>
        <w:ind w:left="0" w:right="-1" w:firstLine="851"/>
        <w:jc w:val="both"/>
        <w:rPr>
          <w:lang w:val="kk-KZ"/>
        </w:rPr>
      </w:pPr>
    </w:p>
    <w:p w:rsidR="0016698C" w:rsidRPr="0016698C" w:rsidRDefault="0016698C" w:rsidP="00937357">
      <w:pPr>
        <w:pStyle w:val="a3"/>
        <w:spacing w:line="360" w:lineRule="auto"/>
        <w:ind w:left="0" w:right="424" w:firstLine="851"/>
        <w:jc w:val="both"/>
        <w:rPr>
          <w:sz w:val="28"/>
          <w:szCs w:val="28"/>
          <w:lang w:val="kk-KZ"/>
        </w:rPr>
      </w:pPr>
      <w:r>
        <w:rPr>
          <w:sz w:val="28"/>
          <w:szCs w:val="28"/>
          <w:lang w:val="kk-KZ"/>
        </w:rPr>
        <w:t>Аннотация</w:t>
      </w:r>
      <w:r w:rsidR="00D711F4" w:rsidRPr="0016698C">
        <w:rPr>
          <w:sz w:val="28"/>
          <w:szCs w:val="28"/>
          <w:lang w:val="kk-KZ"/>
        </w:rPr>
        <w:t xml:space="preserve">. </w:t>
      </w:r>
      <w:r w:rsidR="007670F2">
        <w:rPr>
          <w:sz w:val="28"/>
          <w:szCs w:val="28"/>
          <w:lang w:val="kk-KZ"/>
        </w:rPr>
        <w:t>Б</w:t>
      </w:r>
      <w:r w:rsidR="00637EC1" w:rsidRPr="00637EC1">
        <w:rPr>
          <w:sz w:val="28"/>
          <w:szCs w:val="28"/>
          <w:lang w:val="kk-KZ"/>
        </w:rPr>
        <w:t>олжамдық құзыреттілік құбылысын зерттеудің өзектілігі болжау қабілетінің жоғары деңгейі бар педагогикалық кадрларға мұқтаж заманауи білім беру жүйесі</w:t>
      </w:r>
      <w:r w:rsidR="00726281">
        <w:rPr>
          <w:sz w:val="28"/>
          <w:szCs w:val="28"/>
          <w:lang w:val="kk-KZ"/>
        </w:rPr>
        <w:t>нің талаптарымен ерекшеленеді. М</w:t>
      </w:r>
      <w:r w:rsidR="00637EC1" w:rsidRPr="00637EC1">
        <w:rPr>
          <w:sz w:val="28"/>
          <w:szCs w:val="28"/>
          <w:lang w:val="kk-KZ"/>
        </w:rPr>
        <w:t>ұғалімнің кәсіби қызметінде болжау қабілеті білім берудің жаңарып келе жатқан тенденциялары мен практикалық қызметті тиімді жүзеге асыру қажеттілігінің арқасында</w:t>
      </w:r>
      <w:r w:rsidR="007670F2">
        <w:rPr>
          <w:sz w:val="28"/>
          <w:szCs w:val="28"/>
          <w:lang w:val="kk-KZ"/>
        </w:rPr>
        <w:t xml:space="preserve"> басым орындардың бірін алады. Б</w:t>
      </w:r>
      <w:r w:rsidR="00637EC1" w:rsidRPr="00637EC1">
        <w:rPr>
          <w:sz w:val="28"/>
          <w:szCs w:val="28"/>
          <w:lang w:val="kk-KZ"/>
        </w:rPr>
        <w:t>олашақ мұғалімдер білім беру кеңістігіндегі өзгерістерді болжай білуі, кәсіби тәжірибе контекстінде қолда бар ақпаратты икемді түрде өзгерте білуі, ғылыми негізделген негізде білім беру процесін жобалай білуі керек</w:t>
      </w:r>
      <w:r w:rsidR="00637EC1">
        <w:rPr>
          <w:sz w:val="28"/>
          <w:szCs w:val="28"/>
          <w:lang w:val="kk-KZ"/>
        </w:rPr>
        <w:t xml:space="preserve"> </w:t>
      </w:r>
      <w:r w:rsidR="00637EC1" w:rsidRPr="00637EC1">
        <w:rPr>
          <w:sz w:val="28"/>
          <w:szCs w:val="28"/>
          <w:lang w:val="kk-KZ"/>
        </w:rPr>
        <w:t>болжамдар.</w:t>
      </w:r>
    </w:p>
    <w:p w:rsidR="00D711F4" w:rsidRPr="0016698C" w:rsidRDefault="00D711F4" w:rsidP="00937357">
      <w:pPr>
        <w:pStyle w:val="a3"/>
        <w:spacing w:line="360" w:lineRule="auto"/>
        <w:ind w:left="0" w:right="424" w:firstLine="851"/>
        <w:jc w:val="both"/>
        <w:rPr>
          <w:sz w:val="28"/>
          <w:szCs w:val="28"/>
          <w:lang w:val="kk-KZ"/>
        </w:rPr>
      </w:pPr>
    </w:p>
    <w:p w:rsidR="006576F7" w:rsidRPr="006576F7" w:rsidRDefault="006576F7" w:rsidP="00937357">
      <w:pPr>
        <w:pStyle w:val="a3"/>
        <w:spacing w:line="360" w:lineRule="auto"/>
        <w:ind w:left="0" w:right="-1" w:firstLine="822"/>
        <w:jc w:val="both"/>
        <w:rPr>
          <w:sz w:val="28"/>
          <w:szCs w:val="28"/>
          <w:lang w:val="kk-KZ"/>
        </w:rPr>
      </w:pPr>
      <w:r>
        <w:rPr>
          <w:sz w:val="28"/>
          <w:szCs w:val="28"/>
          <w:lang w:val="kk-KZ"/>
        </w:rPr>
        <w:t>Б</w:t>
      </w:r>
      <w:r w:rsidRPr="006576F7">
        <w:rPr>
          <w:sz w:val="28"/>
          <w:szCs w:val="28"/>
          <w:lang w:val="kk-KZ"/>
        </w:rPr>
        <w:t>ілім беру жүйесінің үздіксіз өзгеруіне байланысты болашақ мұғалімдерді даярлау контекстінде проблемалар мен міндеттердің тұта</w:t>
      </w:r>
      <w:r w:rsidR="00726281">
        <w:rPr>
          <w:sz w:val="28"/>
          <w:szCs w:val="28"/>
          <w:lang w:val="kk-KZ"/>
        </w:rPr>
        <w:t>с пулын өзектендіру байқалады. Б</w:t>
      </w:r>
      <w:r w:rsidRPr="006576F7">
        <w:rPr>
          <w:sz w:val="28"/>
          <w:szCs w:val="28"/>
          <w:lang w:val="kk-KZ"/>
        </w:rPr>
        <w:t>ілім беру жүйесінің негізгі сұранысы-педагогтар</w:t>
      </w:r>
      <w:r>
        <w:rPr>
          <w:sz w:val="28"/>
          <w:szCs w:val="28"/>
          <w:lang w:val="kk-KZ"/>
        </w:rPr>
        <w:t xml:space="preserve"> </w:t>
      </w:r>
      <w:r w:rsidRPr="006576F7">
        <w:rPr>
          <w:sz w:val="28"/>
          <w:szCs w:val="28"/>
          <w:lang w:val="kk-KZ"/>
        </w:rPr>
        <w:t>өз кәсіби қызметін білім беру кеңістігінің үздіксіз өзгеріп отыратын ор</w:t>
      </w:r>
      <w:r w:rsidR="00726281">
        <w:rPr>
          <w:sz w:val="28"/>
          <w:szCs w:val="28"/>
          <w:lang w:val="kk-KZ"/>
        </w:rPr>
        <w:t>тасында тиімді жүзеге асырады. П</w:t>
      </w:r>
      <w:r w:rsidRPr="006576F7">
        <w:rPr>
          <w:sz w:val="28"/>
          <w:szCs w:val="28"/>
          <w:lang w:val="kk-KZ"/>
        </w:rPr>
        <w:t>едагогикалық бейіндегі мамандарды даярлау білім беру ұйымының (мемлекеттік немесе жеке) мәртебесіне қарамастан елдің барлық және өңірлік жоғары оқу</w:t>
      </w:r>
      <w:r w:rsidR="00726281">
        <w:rPr>
          <w:sz w:val="28"/>
          <w:szCs w:val="28"/>
          <w:lang w:val="kk-KZ"/>
        </w:rPr>
        <w:t xml:space="preserve"> орындарында жүзеге асырылады. А</w:t>
      </w:r>
      <w:r w:rsidRPr="006576F7">
        <w:rPr>
          <w:sz w:val="28"/>
          <w:szCs w:val="28"/>
          <w:lang w:val="kk-KZ"/>
        </w:rPr>
        <w:t>йта кету керек, қазіргі заманғы ғалымдар педагогикалық кәсіби құзыреттіліктің ерекше құрылымдық кіші тү</w:t>
      </w:r>
      <w:r w:rsidR="00726281">
        <w:rPr>
          <w:sz w:val="28"/>
          <w:szCs w:val="28"/>
          <w:lang w:val="kk-KZ"/>
        </w:rPr>
        <w:t>рлеріне ерекше назар аударады. О</w:t>
      </w:r>
      <w:r w:rsidRPr="006576F7">
        <w:rPr>
          <w:sz w:val="28"/>
          <w:szCs w:val="28"/>
          <w:lang w:val="kk-KZ"/>
        </w:rPr>
        <w:t>сы аспект негізінде болашақ мұғалімнің кәсіби құзыреттілігінің құрылымында болжамды құзыреттілікті бөлу заңд</w:t>
      </w:r>
      <w:r w:rsidR="00726281">
        <w:rPr>
          <w:sz w:val="28"/>
          <w:szCs w:val="28"/>
          <w:lang w:val="kk-KZ"/>
        </w:rPr>
        <w:t xml:space="preserve">ы болып табылады </w:t>
      </w:r>
      <w:r w:rsidR="00726281" w:rsidRPr="00726281">
        <w:rPr>
          <w:sz w:val="28"/>
          <w:szCs w:val="28"/>
          <w:lang w:val="kk-KZ"/>
        </w:rPr>
        <w:t>[</w:t>
      </w:r>
      <w:r w:rsidR="00726281">
        <w:rPr>
          <w:sz w:val="28"/>
          <w:szCs w:val="28"/>
          <w:lang w:val="kk-KZ"/>
        </w:rPr>
        <w:t>1</w:t>
      </w:r>
      <w:r w:rsidR="00726281" w:rsidRPr="00726281">
        <w:rPr>
          <w:sz w:val="28"/>
          <w:szCs w:val="28"/>
          <w:lang w:val="kk-KZ"/>
        </w:rPr>
        <w:t>]</w:t>
      </w:r>
      <w:r w:rsidRPr="006576F7">
        <w:rPr>
          <w:sz w:val="28"/>
          <w:szCs w:val="28"/>
          <w:lang w:val="kk-KZ"/>
        </w:rPr>
        <w:t>.</w:t>
      </w:r>
    </w:p>
    <w:p w:rsidR="009B6449" w:rsidRDefault="006576F7" w:rsidP="00937357">
      <w:pPr>
        <w:pStyle w:val="a3"/>
        <w:spacing w:line="360" w:lineRule="auto"/>
        <w:ind w:left="0" w:right="-1"/>
        <w:jc w:val="both"/>
        <w:rPr>
          <w:sz w:val="28"/>
          <w:szCs w:val="28"/>
          <w:lang w:val="kk-KZ"/>
        </w:rPr>
      </w:pPr>
      <w:r>
        <w:rPr>
          <w:sz w:val="28"/>
          <w:szCs w:val="28"/>
          <w:lang w:val="kk-KZ"/>
        </w:rPr>
        <w:tab/>
        <w:t>П</w:t>
      </w:r>
      <w:r w:rsidRPr="006576F7">
        <w:rPr>
          <w:sz w:val="28"/>
          <w:szCs w:val="28"/>
          <w:lang w:val="kk-KZ"/>
        </w:rPr>
        <w:t>едагогтердің болжамдық дағдылары, педагогикалық болжау және болжамдық құзыреттілік ғылым мен білім беру жүйесінің өкілдері тарапынан жоғары қызығушылық тудыратын объектіле</w:t>
      </w:r>
      <w:r w:rsidR="00726281">
        <w:rPr>
          <w:sz w:val="28"/>
          <w:szCs w:val="28"/>
          <w:lang w:val="kk-KZ"/>
        </w:rPr>
        <w:t>р болып табылады. О</w:t>
      </w:r>
      <w:r w:rsidRPr="006576F7">
        <w:rPr>
          <w:sz w:val="28"/>
          <w:szCs w:val="28"/>
          <w:lang w:val="kk-KZ"/>
        </w:rPr>
        <w:t xml:space="preserve">сыған </w:t>
      </w:r>
      <w:r w:rsidRPr="006576F7">
        <w:rPr>
          <w:sz w:val="28"/>
          <w:szCs w:val="28"/>
          <w:lang w:val="kk-KZ"/>
        </w:rPr>
        <w:lastRenderedPageBreak/>
        <w:t>қарамастан, қазіргі жағдайда болжамдық құзыреттілікті қалыптастыру процесін педагогикалық қамтамасыз ету және білім беру практикасына педагогикалық болжау әдістемесін сапалы енгізу мәс</w:t>
      </w:r>
      <w:r w:rsidR="00726281">
        <w:rPr>
          <w:sz w:val="28"/>
          <w:szCs w:val="28"/>
          <w:lang w:val="kk-KZ"/>
        </w:rPr>
        <w:t>елесі ерекше өткір болып отыр. Б</w:t>
      </w:r>
      <w:r w:rsidRPr="006576F7">
        <w:rPr>
          <w:sz w:val="28"/>
          <w:szCs w:val="28"/>
          <w:lang w:val="kk-KZ"/>
        </w:rPr>
        <w:t>олашақ мұғалімдерге қойылатын өзекті талаптар кәсіби практикадағы жобалардың деңгейін арттыруға және оларды тез шешуге дайын болмауға бағытталған мінде</w:t>
      </w:r>
      <w:r w:rsidR="00726281">
        <w:rPr>
          <w:sz w:val="28"/>
          <w:szCs w:val="28"/>
          <w:lang w:val="kk-KZ"/>
        </w:rPr>
        <w:t>ттер жиынтығымен ерекшеленеді. Ж</w:t>
      </w:r>
      <w:r w:rsidRPr="006576F7">
        <w:rPr>
          <w:sz w:val="28"/>
          <w:szCs w:val="28"/>
          <w:lang w:val="kk-KZ"/>
        </w:rPr>
        <w:t>оғарыда айтылғандарды ескере отырып, педагог кадрлардың болжамды құзыреттілігі педагогтың білім беру практикасындағы кәсіби жетістігін анықтайтын басым функци</w:t>
      </w:r>
      <w:r>
        <w:rPr>
          <w:sz w:val="28"/>
          <w:szCs w:val="28"/>
          <w:lang w:val="kk-KZ"/>
        </w:rPr>
        <w:t>ясы</w:t>
      </w:r>
      <w:r w:rsidR="000A1B68">
        <w:rPr>
          <w:sz w:val="28"/>
          <w:szCs w:val="28"/>
          <w:lang w:val="kk-KZ"/>
        </w:rPr>
        <w:t xml:space="preserve"> ретінде әрекет ете бастайды</w:t>
      </w:r>
      <w:r w:rsidR="009B6449" w:rsidRPr="009B6449">
        <w:rPr>
          <w:sz w:val="28"/>
          <w:szCs w:val="28"/>
          <w:lang w:val="kk-KZ"/>
        </w:rPr>
        <w:t xml:space="preserve">. </w:t>
      </w:r>
    </w:p>
    <w:p w:rsidR="002F07B3" w:rsidRPr="002F07B3" w:rsidRDefault="00726281" w:rsidP="00937357">
      <w:pPr>
        <w:pStyle w:val="a3"/>
        <w:spacing w:line="360" w:lineRule="auto"/>
        <w:ind w:left="0" w:right="-1" w:firstLine="709"/>
        <w:jc w:val="both"/>
        <w:rPr>
          <w:sz w:val="28"/>
          <w:szCs w:val="28"/>
          <w:lang w:val="kk-KZ"/>
        </w:rPr>
      </w:pPr>
      <w:r>
        <w:rPr>
          <w:sz w:val="28"/>
          <w:szCs w:val="28"/>
          <w:lang w:val="kk-KZ"/>
        </w:rPr>
        <w:t>И. М. Фейгенберг, В.А. Иванников және П. К. А</w:t>
      </w:r>
      <w:r w:rsidR="002F07B3" w:rsidRPr="002F07B3">
        <w:rPr>
          <w:sz w:val="28"/>
          <w:szCs w:val="28"/>
          <w:lang w:val="kk-KZ"/>
        </w:rPr>
        <w:t>нохин, алдын-алу қызметі және қажетті болашақ форматындағы ықтималды болжау туралы айта отырып, антиципациялық қ</w:t>
      </w:r>
      <w:r>
        <w:rPr>
          <w:sz w:val="28"/>
          <w:szCs w:val="28"/>
          <w:lang w:val="kk-KZ"/>
        </w:rPr>
        <w:t>ызметтің функцияларын жіктеді. О</w:t>
      </w:r>
      <w:r w:rsidR="002F07B3" w:rsidRPr="002F07B3">
        <w:rPr>
          <w:sz w:val="28"/>
          <w:szCs w:val="28"/>
          <w:lang w:val="kk-KZ"/>
        </w:rPr>
        <w:t>лар 3 функцияны анықтады: коммуникативті, аффективті және когнитивті</w:t>
      </w:r>
      <w:r w:rsidR="000A1B68">
        <w:rPr>
          <w:sz w:val="28"/>
          <w:szCs w:val="28"/>
          <w:lang w:val="kk-KZ"/>
        </w:rPr>
        <w:t xml:space="preserve"> [2</w:t>
      </w:r>
      <w:r w:rsidRPr="009B6449">
        <w:rPr>
          <w:sz w:val="28"/>
          <w:szCs w:val="28"/>
          <w:lang w:val="kk-KZ"/>
        </w:rPr>
        <w:t xml:space="preserve">]. </w:t>
      </w:r>
      <w:r>
        <w:rPr>
          <w:sz w:val="28"/>
          <w:szCs w:val="28"/>
          <w:lang w:val="kk-KZ"/>
        </w:rPr>
        <w:t xml:space="preserve"> </w:t>
      </w:r>
    </w:p>
    <w:p w:rsidR="002F07B3" w:rsidRPr="002F07B3" w:rsidRDefault="00726281" w:rsidP="00937357">
      <w:pPr>
        <w:pStyle w:val="a3"/>
        <w:spacing w:line="360" w:lineRule="auto"/>
        <w:ind w:left="0" w:right="-1" w:firstLine="709"/>
        <w:jc w:val="both"/>
        <w:rPr>
          <w:sz w:val="28"/>
          <w:szCs w:val="28"/>
          <w:lang w:val="kk-KZ"/>
        </w:rPr>
      </w:pPr>
      <w:r>
        <w:rPr>
          <w:sz w:val="28"/>
          <w:szCs w:val="28"/>
          <w:lang w:val="kk-KZ"/>
        </w:rPr>
        <w:t>Б</w:t>
      </w:r>
      <w:r w:rsidR="002F07B3" w:rsidRPr="002F07B3">
        <w:rPr>
          <w:sz w:val="28"/>
          <w:szCs w:val="28"/>
          <w:lang w:val="kk-KZ"/>
        </w:rPr>
        <w:t xml:space="preserve">ілім беру жүйесінің болашақ маманы білімін кешенді жүйеге жинақтайтындықтан, көп жылдық оқу процесінің арқасында болашақ педагогтардың жоғары білім алу процесінде болжамды құзыреттілігін қалыптастыруды педагогикалық қамтамасыз етуді неғұрлым </w:t>
      </w:r>
      <w:r>
        <w:rPr>
          <w:sz w:val="28"/>
          <w:szCs w:val="28"/>
          <w:lang w:val="kk-KZ"/>
        </w:rPr>
        <w:t>егжей-тегжейлі зерделеу қажет. К</w:t>
      </w:r>
      <w:r w:rsidR="002F07B3" w:rsidRPr="002F07B3">
        <w:rPr>
          <w:sz w:val="28"/>
          <w:szCs w:val="28"/>
          <w:lang w:val="kk-KZ"/>
        </w:rPr>
        <w:t>әсіптік перспективада табысты жұмыс істеу үшін білім беру жүйесінің өкілдері мынадай дағдыларды меңгеруі тиіс: кәсіптік қызметті және оқу процесін жоспарлау, рационализаторлық дағдылар, оқу процесінде қызметтік тәсілді іске асыру шең</w:t>
      </w:r>
      <w:r>
        <w:rPr>
          <w:sz w:val="28"/>
          <w:szCs w:val="28"/>
          <w:lang w:val="kk-KZ"/>
        </w:rPr>
        <w:t>берінде тиімді мақсат қою және а</w:t>
      </w:r>
      <w:r w:rsidR="002F07B3" w:rsidRPr="002F07B3">
        <w:rPr>
          <w:sz w:val="28"/>
          <w:szCs w:val="28"/>
          <w:lang w:val="kk-KZ"/>
        </w:rPr>
        <w:t>лгоритмдеу дағдылары.</w:t>
      </w:r>
    </w:p>
    <w:p w:rsidR="00365F9A" w:rsidRDefault="00726281" w:rsidP="00937357">
      <w:pPr>
        <w:pStyle w:val="a3"/>
        <w:spacing w:line="360" w:lineRule="auto"/>
        <w:ind w:left="0" w:right="-1" w:firstLine="709"/>
        <w:jc w:val="both"/>
        <w:rPr>
          <w:sz w:val="28"/>
          <w:szCs w:val="28"/>
          <w:lang w:val="kk-KZ"/>
        </w:rPr>
      </w:pPr>
      <w:r>
        <w:rPr>
          <w:sz w:val="28"/>
          <w:szCs w:val="28"/>
          <w:lang w:val="kk-KZ"/>
        </w:rPr>
        <w:t>А. В. Г</w:t>
      </w:r>
      <w:r w:rsidR="002F07B3" w:rsidRPr="002F07B3">
        <w:rPr>
          <w:sz w:val="28"/>
          <w:szCs w:val="28"/>
          <w:lang w:val="kk-KZ"/>
        </w:rPr>
        <w:t xml:space="preserve">лузман </w:t>
      </w:r>
      <w:r w:rsidR="00937357" w:rsidRPr="00726281">
        <w:rPr>
          <w:sz w:val="28"/>
          <w:szCs w:val="28"/>
          <w:lang w:val="kk-KZ"/>
        </w:rPr>
        <w:t>[</w:t>
      </w:r>
      <w:r w:rsidR="000A1B68">
        <w:rPr>
          <w:sz w:val="28"/>
          <w:szCs w:val="28"/>
          <w:lang w:val="kk-KZ"/>
        </w:rPr>
        <w:t>3</w:t>
      </w:r>
      <w:r w:rsidR="00937357" w:rsidRPr="00726281">
        <w:rPr>
          <w:sz w:val="28"/>
          <w:szCs w:val="28"/>
          <w:lang w:val="kk-KZ"/>
        </w:rPr>
        <w:t>]</w:t>
      </w:r>
      <w:r w:rsidR="00937357">
        <w:rPr>
          <w:sz w:val="28"/>
          <w:szCs w:val="28"/>
          <w:lang w:val="kk-KZ"/>
        </w:rPr>
        <w:t xml:space="preserve"> </w:t>
      </w:r>
      <w:r w:rsidR="002F07B3" w:rsidRPr="002F07B3">
        <w:rPr>
          <w:sz w:val="28"/>
          <w:szCs w:val="28"/>
          <w:lang w:val="kk-KZ"/>
        </w:rPr>
        <w:t>болашақ педагогикалық кадрларды даярлаудың оқу-тәрбие процесінде құзыреттілікке негізделген тәсілдің негізгі принциптері болашақ мамандардың бәсекеге қабілеттілігінің жоғары деңгейін қамтамасыз ететін фактор болып табыл</w:t>
      </w:r>
      <w:r>
        <w:rPr>
          <w:sz w:val="28"/>
          <w:szCs w:val="28"/>
          <w:lang w:val="kk-KZ"/>
        </w:rPr>
        <w:t>атынын атап өтті. Б</w:t>
      </w:r>
      <w:r w:rsidR="002F07B3" w:rsidRPr="002F07B3">
        <w:rPr>
          <w:sz w:val="28"/>
          <w:szCs w:val="28"/>
          <w:lang w:val="kk-KZ"/>
        </w:rPr>
        <w:t>олашақ мұғалімнің нәтижелі кәсіби қызметке дайындығының жоғары деңгейін қарастыру шеңберінде құзыре</w:t>
      </w:r>
      <w:r>
        <w:rPr>
          <w:sz w:val="28"/>
          <w:szCs w:val="28"/>
          <w:lang w:val="kk-KZ"/>
        </w:rPr>
        <w:t>ттілік тәсілді орналастыру осы т</w:t>
      </w:r>
      <w:r w:rsidR="002F07B3" w:rsidRPr="002F07B3">
        <w:rPr>
          <w:sz w:val="28"/>
          <w:szCs w:val="28"/>
          <w:lang w:val="kk-KZ"/>
        </w:rPr>
        <w:t>ұжырымдаманың мазмұнының іргелі негізінде болжамдық құзыреттілікті қалыптастыру бағдарламасын құрылымдау қаже</w:t>
      </w:r>
      <w:r>
        <w:rPr>
          <w:sz w:val="28"/>
          <w:szCs w:val="28"/>
          <w:lang w:val="kk-KZ"/>
        </w:rPr>
        <w:t>ттілігі туралы түсінік береді. П</w:t>
      </w:r>
      <w:r w:rsidR="002F07B3" w:rsidRPr="002F07B3">
        <w:rPr>
          <w:sz w:val="28"/>
          <w:szCs w:val="28"/>
          <w:lang w:val="kk-KZ"/>
        </w:rPr>
        <w:t xml:space="preserve">едагогика ғылымының жетекші өкілдерінің </w:t>
      </w:r>
      <w:r w:rsidR="002F07B3" w:rsidRPr="002F07B3">
        <w:rPr>
          <w:sz w:val="28"/>
          <w:szCs w:val="28"/>
          <w:lang w:val="kk-KZ"/>
        </w:rPr>
        <w:lastRenderedPageBreak/>
        <w:t>теориялық, қолданбалы және іргелі жұмыстарын зерттеу нәтижелері бойынша "құзыреттілік" феноменін адамның алынған дағдылар, білім мен дағдылардың жиынтығын іс жүзінде жүзеге асыруға мағыналы дайындығы мен қабіле</w:t>
      </w:r>
      <w:r>
        <w:rPr>
          <w:sz w:val="28"/>
          <w:szCs w:val="28"/>
          <w:lang w:val="kk-KZ"/>
        </w:rPr>
        <w:t>ті ретінде түсіндіруге болады. Б</w:t>
      </w:r>
      <w:r w:rsidR="002F07B3" w:rsidRPr="002F07B3">
        <w:rPr>
          <w:sz w:val="28"/>
          <w:szCs w:val="28"/>
          <w:lang w:val="kk-KZ"/>
        </w:rPr>
        <w:t>олжамды салдарлармен және кәсіби қызметтің бел</w:t>
      </w:r>
      <w:r>
        <w:rPr>
          <w:sz w:val="28"/>
          <w:szCs w:val="28"/>
          <w:lang w:val="kk-KZ"/>
        </w:rPr>
        <w:t xml:space="preserve">гілі бір жағдайларында нәтижелерімен. </w:t>
      </w:r>
    </w:p>
    <w:p w:rsidR="00726281" w:rsidRDefault="00726281" w:rsidP="00937357">
      <w:pPr>
        <w:pStyle w:val="a3"/>
        <w:spacing w:line="360" w:lineRule="auto"/>
        <w:ind w:left="0" w:right="-1" w:firstLine="709"/>
        <w:jc w:val="both"/>
        <w:rPr>
          <w:sz w:val="28"/>
          <w:szCs w:val="28"/>
          <w:lang w:val="kk-KZ"/>
        </w:rPr>
      </w:pPr>
      <w:r>
        <w:rPr>
          <w:sz w:val="28"/>
          <w:szCs w:val="28"/>
          <w:lang w:val="kk-KZ"/>
        </w:rPr>
        <w:t>Яғни, В</w:t>
      </w:r>
      <w:r w:rsidR="002F07B3" w:rsidRPr="002F07B3">
        <w:rPr>
          <w:sz w:val="28"/>
          <w:szCs w:val="28"/>
          <w:lang w:val="kk-KZ"/>
        </w:rPr>
        <w:t xml:space="preserve">еденская </w:t>
      </w:r>
      <w:r w:rsidR="00937357">
        <w:rPr>
          <w:sz w:val="28"/>
          <w:szCs w:val="28"/>
          <w:lang w:val="kk-KZ"/>
        </w:rPr>
        <w:t>Т</w:t>
      </w:r>
      <w:r w:rsidR="00937357" w:rsidRPr="00937357">
        <w:rPr>
          <w:sz w:val="28"/>
          <w:szCs w:val="28"/>
          <w:lang w:val="kk-KZ"/>
        </w:rPr>
        <w:t>.</w:t>
      </w:r>
      <w:r w:rsidR="00937357">
        <w:rPr>
          <w:sz w:val="28"/>
          <w:szCs w:val="28"/>
          <w:lang w:val="kk-KZ"/>
        </w:rPr>
        <w:t xml:space="preserve">Е. </w:t>
      </w:r>
      <w:r w:rsidR="00937357" w:rsidRPr="00726281">
        <w:rPr>
          <w:sz w:val="28"/>
          <w:szCs w:val="28"/>
          <w:lang w:val="kk-KZ"/>
        </w:rPr>
        <w:t>[</w:t>
      </w:r>
      <w:r w:rsidR="000A1B68">
        <w:rPr>
          <w:sz w:val="28"/>
          <w:szCs w:val="28"/>
          <w:lang w:val="kk-KZ"/>
        </w:rPr>
        <w:t>4</w:t>
      </w:r>
      <w:r w:rsidR="00937357" w:rsidRPr="00726281">
        <w:rPr>
          <w:sz w:val="28"/>
          <w:szCs w:val="28"/>
          <w:lang w:val="kk-KZ"/>
        </w:rPr>
        <w:t>]</w:t>
      </w:r>
      <w:r w:rsidR="00937357">
        <w:rPr>
          <w:sz w:val="28"/>
          <w:szCs w:val="28"/>
          <w:lang w:val="kk-KZ"/>
        </w:rPr>
        <w:t xml:space="preserve"> </w:t>
      </w:r>
      <w:r w:rsidR="002F07B3" w:rsidRPr="002F07B3">
        <w:rPr>
          <w:sz w:val="28"/>
          <w:szCs w:val="28"/>
          <w:lang w:val="kk-KZ"/>
        </w:rPr>
        <w:t xml:space="preserve">мұғалімнің кәсіби құзыреттілігінің келесі құрылымдық компоненттерін сипаттайды: </w:t>
      </w:r>
    </w:p>
    <w:p w:rsidR="00726281" w:rsidRDefault="002F07B3" w:rsidP="00937357">
      <w:pPr>
        <w:pStyle w:val="a3"/>
        <w:spacing w:line="360" w:lineRule="auto"/>
        <w:ind w:left="0" w:right="-1" w:firstLine="709"/>
        <w:jc w:val="both"/>
        <w:rPr>
          <w:sz w:val="28"/>
          <w:szCs w:val="28"/>
          <w:lang w:val="kk-KZ"/>
        </w:rPr>
      </w:pPr>
      <w:r w:rsidRPr="002F07B3">
        <w:rPr>
          <w:sz w:val="28"/>
          <w:szCs w:val="28"/>
          <w:lang w:val="kk-KZ"/>
        </w:rPr>
        <w:t xml:space="preserve">1) жеке тұлғаның идеалдарының жиынтығын, оның мотивациялық-құндылық көзқарастары мен қажеттіліктерін қамтитын бағыт; </w:t>
      </w:r>
    </w:p>
    <w:p w:rsidR="00726281" w:rsidRDefault="002F07B3" w:rsidP="00937357">
      <w:pPr>
        <w:pStyle w:val="a3"/>
        <w:spacing w:line="360" w:lineRule="auto"/>
        <w:ind w:left="0" w:right="-1" w:firstLine="709"/>
        <w:jc w:val="both"/>
        <w:rPr>
          <w:sz w:val="28"/>
          <w:szCs w:val="28"/>
          <w:lang w:val="kk-KZ"/>
        </w:rPr>
      </w:pPr>
      <w:r w:rsidRPr="002F07B3">
        <w:rPr>
          <w:sz w:val="28"/>
          <w:szCs w:val="28"/>
          <w:lang w:val="kk-KZ"/>
        </w:rPr>
        <w:t xml:space="preserve">2) маманның дағдыларын, білімі мен дағдыларын жалпылайтын тәжірибе; </w:t>
      </w:r>
    </w:p>
    <w:p w:rsidR="002F07B3" w:rsidRPr="002F07B3" w:rsidRDefault="002F07B3" w:rsidP="00937357">
      <w:pPr>
        <w:pStyle w:val="a3"/>
        <w:spacing w:line="360" w:lineRule="auto"/>
        <w:ind w:left="0" w:right="-1" w:firstLine="709"/>
        <w:jc w:val="both"/>
        <w:rPr>
          <w:sz w:val="28"/>
          <w:szCs w:val="28"/>
          <w:lang w:val="kk-KZ"/>
        </w:rPr>
      </w:pPr>
      <w:r w:rsidRPr="002F07B3">
        <w:rPr>
          <w:sz w:val="28"/>
          <w:szCs w:val="28"/>
          <w:lang w:val="kk-KZ"/>
        </w:rPr>
        <w:t>3) мұғалімнің қолда бар білімді көпфункционалды қолдану, барабар мақсат қою және кәсіби қабілеттерінде көріне</w:t>
      </w:r>
      <w:r w:rsidR="00726281">
        <w:rPr>
          <w:sz w:val="28"/>
          <w:szCs w:val="28"/>
          <w:lang w:val="kk-KZ"/>
        </w:rPr>
        <w:t xml:space="preserve">тін қасиеттер өзін-өзі дамыту. </w:t>
      </w:r>
      <w:r w:rsidR="00726281">
        <w:rPr>
          <w:sz w:val="28"/>
          <w:szCs w:val="28"/>
          <w:lang w:val="kk-KZ"/>
        </w:rPr>
        <w:tab/>
        <w:t>Б</w:t>
      </w:r>
      <w:r w:rsidRPr="002F07B3">
        <w:rPr>
          <w:sz w:val="28"/>
          <w:szCs w:val="28"/>
          <w:lang w:val="kk-KZ"/>
        </w:rPr>
        <w:t xml:space="preserve">үгінгі таңда білім беру ортасын жетілдірудің және оның өзгеруінің арқасында маманның кәсіби құзыреттілігі түрлерінің кешені трансформацияның үздіксіз тенденциясымен сипатталады. бұл фактордың негізі педагогикалық кәсіптің болашақ өкілдерін кәсіби даярлаудың нақты аспектілері </w:t>
      </w:r>
      <w:r w:rsidR="00726281">
        <w:rPr>
          <w:sz w:val="28"/>
          <w:szCs w:val="28"/>
          <w:lang w:val="kk-KZ"/>
        </w:rPr>
        <w:t>болып табылады</w:t>
      </w:r>
      <w:r w:rsidRPr="002F07B3">
        <w:rPr>
          <w:sz w:val="28"/>
          <w:szCs w:val="28"/>
          <w:lang w:val="kk-KZ"/>
        </w:rPr>
        <w:t>.</w:t>
      </w:r>
    </w:p>
    <w:p w:rsidR="004D71C2" w:rsidRDefault="00726281" w:rsidP="00937357">
      <w:pPr>
        <w:pStyle w:val="a3"/>
        <w:spacing w:line="360" w:lineRule="auto"/>
        <w:ind w:left="0" w:right="-1" w:firstLine="709"/>
        <w:jc w:val="both"/>
        <w:rPr>
          <w:sz w:val="28"/>
          <w:szCs w:val="28"/>
          <w:lang w:val="kk-KZ"/>
        </w:rPr>
      </w:pPr>
      <w:r>
        <w:rPr>
          <w:sz w:val="28"/>
          <w:szCs w:val="28"/>
          <w:lang w:val="kk-KZ"/>
        </w:rPr>
        <w:t>А. Ф. Алқабидің еңбектерінде б</w:t>
      </w:r>
      <w:r w:rsidR="002F07B3" w:rsidRPr="002F07B3">
        <w:rPr>
          <w:sz w:val="28"/>
          <w:szCs w:val="28"/>
          <w:lang w:val="kk-KZ"/>
        </w:rPr>
        <w:t xml:space="preserve">олашақ педагогтардың болжамдық құзыреттілігінің компоненттерін жіктеу және жалпы болжамдық құзыреттілікті құрылымдау жүзеге асырылды. автор </w:t>
      </w:r>
      <w:r w:rsidR="004D71C2">
        <w:rPr>
          <w:sz w:val="28"/>
          <w:szCs w:val="28"/>
          <w:lang w:val="kk-KZ"/>
        </w:rPr>
        <w:t xml:space="preserve">келесі компоненттерді анықтады: </w:t>
      </w:r>
      <w:r w:rsidR="002F07B3" w:rsidRPr="002F07B3">
        <w:rPr>
          <w:sz w:val="28"/>
          <w:szCs w:val="28"/>
          <w:lang w:val="kk-KZ"/>
        </w:rPr>
        <w:t xml:space="preserve">белсенділік. </w:t>
      </w:r>
    </w:p>
    <w:p w:rsidR="002F07B3" w:rsidRDefault="004D71C2" w:rsidP="00937357">
      <w:pPr>
        <w:pStyle w:val="a3"/>
        <w:spacing w:line="360" w:lineRule="auto"/>
        <w:ind w:left="0" w:right="-1" w:firstLine="709"/>
        <w:jc w:val="both"/>
        <w:rPr>
          <w:sz w:val="28"/>
          <w:szCs w:val="28"/>
          <w:lang w:val="kk-KZ"/>
        </w:rPr>
      </w:pPr>
      <w:r>
        <w:rPr>
          <w:sz w:val="28"/>
          <w:szCs w:val="28"/>
          <w:lang w:val="kk-KZ"/>
        </w:rPr>
        <w:t>Б</w:t>
      </w:r>
      <w:r w:rsidR="002F07B3" w:rsidRPr="002F07B3">
        <w:rPr>
          <w:sz w:val="28"/>
          <w:szCs w:val="28"/>
          <w:lang w:val="kk-KZ"/>
        </w:rPr>
        <w:t>ұл компонент кәсіби, когнитивті және оқу іс-әреке</w:t>
      </w:r>
      <w:r>
        <w:rPr>
          <w:sz w:val="28"/>
          <w:szCs w:val="28"/>
          <w:lang w:val="kk-KZ"/>
        </w:rPr>
        <w:t>ттерінің жиынтығында көрінеді. Б</w:t>
      </w:r>
      <w:r w:rsidR="002F07B3" w:rsidRPr="002F07B3">
        <w:rPr>
          <w:sz w:val="28"/>
          <w:szCs w:val="28"/>
          <w:lang w:val="kk-KZ"/>
        </w:rPr>
        <w:t>ұл ғылыми негізделген педагогикалық болжамды жүзеге ас</w:t>
      </w:r>
      <w:r>
        <w:rPr>
          <w:sz w:val="28"/>
          <w:szCs w:val="28"/>
          <w:lang w:val="kk-KZ"/>
        </w:rPr>
        <w:t>ыру үшін негіз болып табылады. Д</w:t>
      </w:r>
      <w:r w:rsidR="002F07B3" w:rsidRPr="002F07B3">
        <w:rPr>
          <w:sz w:val="28"/>
          <w:szCs w:val="28"/>
          <w:lang w:val="kk-KZ"/>
        </w:rPr>
        <w:t>әл осы компоненттің арқасында маман оқу процесін қажетті қорытынды мақсаттарға сәйкес жоспарлай алады.</w:t>
      </w:r>
      <w:r w:rsidR="00E96B5B" w:rsidRPr="00E96B5B">
        <w:rPr>
          <w:sz w:val="28"/>
          <w:szCs w:val="28"/>
          <w:lang w:val="kk-KZ"/>
        </w:rPr>
        <w:t xml:space="preserve"> </w:t>
      </w:r>
      <w:r w:rsidR="00E96B5B" w:rsidRPr="00726281">
        <w:rPr>
          <w:sz w:val="28"/>
          <w:szCs w:val="28"/>
          <w:lang w:val="kk-KZ"/>
        </w:rPr>
        <w:t>[</w:t>
      </w:r>
      <w:r w:rsidR="00E96B5B">
        <w:rPr>
          <w:sz w:val="28"/>
          <w:szCs w:val="28"/>
          <w:lang w:val="kk-KZ"/>
        </w:rPr>
        <w:t>5</w:t>
      </w:r>
      <w:r w:rsidR="00E96B5B" w:rsidRPr="00726281">
        <w:rPr>
          <w:sz w:val="28"/>
          <w:szCs w:val="28"/>
          <w:lang w:val="kk-KZ"/>
        </w:rPr>
        <w:t>]</w:t>
      </w:r>
      <w:r w:rsidR="00E96B5B">
        <w:rPr>
          <w:sz w:val="28"/>
          <w:szCs w:val="28"/>
          <w:lang w:val="kk-KZ"/>
        </w:rPr>
        <w:t>.</w:t>
      </w:r>
      <w:bookmarkStart w:id="0" w:name="_GoBack"/>
      <w:bookmarkEnd w:id="0"/>
    </w:p>
    <w:p w:rsidR="004D71C2" w:rsidRDefault="004D71C2" w:rsidP="00937357">
      <w:pPr>
        <w:pStyle w:val="a3"/>
        <w:spacing w:line="360" w:lineRule="auto"/>
        <w:ind w:left="0" w:right="-1" w:firstLine="709"/>
        <w:jc w:val="both"/>
        <w:rPr>
          <w:sz w:val="28"/>
          <w:szCs w:val="28"/>
          <w:lang w:val="kk-KZ"/>
        </w:rPr>
      </w:pPr>
      <w:r>
        <w:rPr>
          <w:sz w:val="28"/>
          <w:szCs w:val="28"/>
          <w:lang w:val="kk-KZ"/>
        </w:rPr>
        <w:t>Ғ</w:t>
      </w:r>
      <w:r w:rsidRPr="004D71C2">
        <w:rPr>
          <w:sz w:val="28"/>
          <w:szCs w:val="28"/>
          <w:lang w:val="kk-KZ"/>
        </w:rPr>
        <w:t xml:space="preserve">алымдар міндеттерді жоспарлау және қою, мақсаттарды ыдырату аспектісінде оқытушылардың болжамды құзыреттілігіне басымдық береді. педагогтың болжамдық қабілеттерінің жоғары деңгейі жетістіктер мен перспективалардың тұрақты кәсіби өсуінің, инновациялық педагогикалық </w:t>
      </w:r>
      <w:r w:rsidRPr="004D71C2">
        <w:rPr>
          <w:sz w:val="28"/>
          <w:szCs w:val="28"/>
          <w:lang w:val="kk-KZ"/>
        </w:rPr>
        <w:lastRenderedPageBreak/>
        <w:t>әзірлемелердің ауқымды арсеналында бағдарлау болжамын жүзеге асырудың ажырамас буыны ретінде сипатталатыны анықталды. осыған сүйене отырып, қоғамның сұраныстарымен бірге болашақ мұғалімдерді даярлау барысында болжамды құзыреттіліктің ең тиімді қалыптасуы бірінші орынға шығады.</w:t>
      </w:r>
    </w:p>
    <w:p w:rsidR="004D71C2" w:rsidRDefault="004D71C2" w:rsidP="00937357">
      <w:pPr>
        <w:pStyle w:val="a3"/>
        <w:spacing w:line="360" w:lineRule="auto"/>
        <w:ind w:left="0" w:right="-1" w:firstLine="709"/>
        <w:jc w:val="both"/>
        <w:rPr>
          <w:sz w:val="28"/>
          <w:szCs w:val="28"/>
          <w:lang w:val="kk-KZ"/>
        </w:rPr>
      </w:pPr>
      <w:r>
        <w:rPr>
          <w:sz w:val="28"/>
          <w:szCs w:val="28"/>
          <w:lang w:val="kk-KZ"/>
        </w:rPr>
        <w:t>О</w:t>
      </w:r>
      <w:r w:rsidRPr="004D71C2">
        <w:rPr>
          <w:sz w:val="28"/>
          <w:szCs w:val="28"/>
          <w:lang w:val="kk-KZ"/>
        </w:rPr>
        <w:t>тандық және шетелдік зерттеушілердің бірқатар жұмыстарында баяндалған әзірлемелердің, теориялық тәсілдер мен қағидаттардың жеткілікті санына қарамастан, білім беру жүйесінің болашақ мамандарының болжамдық құзыреттілігін қалыптастыру процесін педагогикалық қамтамасыз ету мәселесі ғылыми салада ерекше маңызды болып қала беретінін атап өткен жөн.</w:t>
      </w:r>
    </w:p>
    <w:p w:rsidR="009B6449" w:rsidRPr="004D71C2" w:rsidRDefault="009B6449" w:rsidP="00937357">
      <w:pPr>
        <w:pStyle w:val="a3"/>
        <w:spacing w:line="360" w:lineRule="auto"/>
        <w:ind w:left="0" w:right="-1"/>
        <w:jc w:val="both"/>
        <w:rPr>
          <w:sz w:val="28"/>
          <w:szCs w:val="28"/>
          <w:lang w:val="kk-KZ"/>
        </w:rPr>
      </w:pPr>
      <w:r>
        <w:rPr>
          <w:sz w:val="28"/>
          <w:szCs w:val="28"/>
          <w:lang w:val="kk-KZ"/>
        </w:rPr>
        <w:tab/>
      </w:r>
    </w:p>
    <w:p w:rsidR="008833D7" w:rsidRPr="0016698C" w:rsidRDefault="008833D7" w:rsidP="00937357">
      <w:pPr>
        <w:pStyle w:val="a3"/>
        <w:spacing w:line="360" w:lineRule="auto"/>
        <w:ind w:left="0" w:right="424" w:firstLine="851"/>
        <w:jc w:val="both"/>
        <w:rPr>
          <w:sz w:val="28"/>
          <w:szCs w:val="28"/>
          <w:shd w:val="clear" w:color="auto" w:fill="FFFFFF"/>
          <w:lang w:val="kk-KZ"/>
        </w:rPr>
      </w:pPr>
      <w:r w:rsidRPr="0016698C">
        <w:rPr>
          <w:sz w:val="28"/>
          <w:szCs w:val="28"/>
          <w:shd w:val="clear" w:color="auto" w:fill="FFFFFF"/>
          <w:lang w:val="kk-KZ"/>
        </w:rPr>
        <w:t>Пайдаланылған әдебиеттер:</w:t>
      </w:r>
    </w:p>
    <w:p w:rsidR="009B2687" w:rsidRPr="0016698C" w:rsidRDefault="009B2687" w:rsidP="00937357">
      <w:pPr>
        <w:pStyle w:val="a3"/>
        <w:spacing w:line="360" w:lineRule="auto"/>
        <w:ind w:left="0" w:right="424" w:firstLine="851"/>
        <w:jc w:val="both"/>
        <w:rPr>
          <w:sz w:val="28"/>
          <w:szCs w:val="28"/>
          <w:shd w:val="clear" w:color="auto" w:fill="FFFFFF"/>
          <w:lang w:val="kk-KZ"/>
        </w:rPr>
      </w:pPr>
    </w:p>
    <w:p w:rsidR="004D71C2" w:rsidRPr="004D71C2" w:rsidRDefault="004D71C2" w:rsidP="00937357">
      <w:pPr>
        <w:pStyle w:val="a3"/>
        <w:numPr>
          <w:ilvl w:val="0"/>
          <w:numId w:val="4"/>
        </w:numPr>
        <w:spacing w:line="360" w:lineRule="auto"/>
        <w:ind w:left="426" w:right="424"/>
        <w:jc w:val="both"/>
        <w:rPr>
          <w:rFonts w:eastAsiaTheme="minorHAnsi"/>
          <w:sz w:val="28"/>
          <w:szCs w:val="28"/>
          <w:lang w:val="kk-KZ"/>
        </w:rPr>
      </w:pPr>
      <w:r>
        <w:rPr>
          <w:rFonts w:eastAsiaTheme="minorHAnsi"/>
          <w:sz w:val="28"/>
          <w:szCs w:val="28"/>
          <w:lang w:val="kk-KZ"/>
        </w:rPr>
        <w:t>Ананьев, Б.Г</w:t>
      </w:r>
      <w:r w:rsidRPr="004D71C2">
        <w:rPr>
          <w:rFonts w:eastAsiaTheme="minorHAnsi"/>
          <w:sz w:val="28"/>
          <w:szCs w:val="28"/>
          <w:lang w:val="kk-KZ"/>
        </w:rPr>
        <w:t>. сенсорно-перцептивная организация человека // познавательные процессы:</w:t>
      </w:r>
      <w:r>
        <w:rPr>
          <w:rFonts w:eastAsiaTheme="minorHAnsi"/>
          <w:sz w:val="28"/>
          <w:szCs w:val="28"/>
          <w:lang w:val="kk-KZ"/>
        </w:rPr>
        <w:t xml:space="preserve"> </w:t>
      </w:r>
      <w:r w:rsidRPr="004D71C2">
        <w:rPr>
          <w:rFonts w:eastAsiaTheme="minorHAnsi"/>
          <w:sz w:val="28"/>
          <w:szCs w:val="28"/>
          <w:lang w:val="kk-KZ"/>
        </w:rPr>
        <w:t>ощущения, восприятие</w:t>
      </w:r>
      <w:r>
        <w:rPr>
          <w:rFonts w:eastAsiaTheme="minorHAnsi"/>
          <w:sz w:val="28"/>
          <w:szCs w:val="28"/>
          <w:lang w:val="kk-KZ"/>
        </w:rPr>
        <w:t>.– М.: Пе</w:t>
      </w:r>
      <w:r w:rsidRPr="004D71C2">
        <w:rPr>
          <w:rFonts w:eastAsiaTheme="minorHAnsi"/>
          <w:sz w:val="28"/>
          <w:szCs w:val="28"/>
          <w:lang w:val="kk-KZ"/>
        </w:rPr>
        <w:t>дагогика, 1982 – с. 60-156.</w:t>
      </w:r>
    </w:p>
    <w:p w:rsidR="004D71C2" w:rsidRPr="004D71C2" w:rsidRDefault="004D71C2" w:rsidP="00937357">
      <w:pPr>
        <w:pStyle w:val="a3"/>
        <w:numPr>
          <w:ilvl w:val="0"/>
          <w:numId w:val="4"/>
        </w:numPr>
        <w:spacing w:line="360" w:lineRule="auto"/>
        <w:ind w:left="426" w:right="424"/>
        <w:jc w:val="both"/>
        <w:rPr>
          <w:rFonts w:eastAsiaTheme="minorHAnsi"/>
          <w:sz w:val="28"/>
          <w:szCs w:val="28"/>
          <w:lang w:val="kk-KZ"/>
        </w:rPr>
      </w:pPr>
      <w:r>
        <w:rPr>
          <w:rFonts w:eastAsiaTheme="minorHAnsi"/>
          <w:sz w:val="28"/>
          <w:szCs w:val="28"/>
          <w:lang w:val="kk-KZ"/>
        </w:rPr>
        <w:t>Анохин П. К. О</w:t>
      </w:r>
      <w:r w:rsidRPr="004D71C2">
        <w:rPr>
          <w:rFonts w:eastAsiaTheme="minorHAnsi"/>
          <w:sz w:val="28"/>
          <w:szCs w:val="28"/>
          <w:lang w:val="kk-KZ"/>
        </w:rPr>
        <w:t>пережающее отражение действительности // вопросы философии. – 1962 –т. 5 – с. 97-111.</w:t>
      </w:r>
    </w:p>
    <w:p w:rsidR="00365F9A" w:rsidRPr="00365F9A" w:rsidRDefault="00365F9A" w:rsidP="00937357">
      <w:pPr>
        <w:pStyle w:val="a3"/>
        <w:numPr>
          <w:ilvl w:val="0"/>
          <w:numId w:val="4"/>
        </w:numPr>
        <w:spacing w:line="360" w:lineRule="auto"/>
        <w:ind w:left="426" w:right="424"/>
        <w:jc w:val="both"/>
        <w:rPr>
          <w:rFonts w:eastAsiaTheme="minorHAnsi"/>
          <w:sz w:val="28"/>
          <w:szCs w:val="28"/>
          <w:lang w:val="kk-KZ"/>
        </w:rPr>
      </w:pPr>
      <w:r>
        <w:rPr>
          <w:rFonts w:eastAsiaTheme="minorHAnsi"/>
          <w:sz w:val="28"/>
          <w:szCs w:val="28"/>
          <w:lang w:val="kk-KZ"/>
        </w:rPr>
        <w:t>Глузман, А.В. Т</w:t>
      </w:r>
      <w:r w:rsidRPr="004D71C2">
        <w:rPr>
          <w:rFonts w:eastAsiaTheme="minorHAnsi"/>
          <w:sz w:val="28"/>
          <w:szCs w:val="28"/>
          <w:lang w:val="kk-KZ"/>
        </w:rPr>
        <w:t>ехнология формирования культуры межличностного общения у будущих</w:t>
      </w:r>
      <w:r>
        <w:rPr>
          <w:rFonts w:eastAsiaTheme="minorHAnsi"/>
          <w:sz w:val="28"/>
          <w:szCs w:val="28"/>
          <w:lang w:val="kk-KZ"/>
        </w:rPr>
        <w:t xml:space="preserve"> </w:t>
      </w:r>
      <w:r w:rsidRPr="004D71C2">
        <w:rPr>
          <w:rFonts w:eastAsiaTheme="minorHAnsi"/>
          <w:sz w:val="28"/>
          <w:szCs w:val="28"/>
          <w:lang w:val="kk-KZ"/>
        </w:rPr>
        <w:t>учителей в системе высшего педагогического образов</w:t>
      </w:r>
      <w:r>
        <w:rPr>
          <w:rFonts w:eastAsiaTheme="minorHAnsi"/>
          <w:sz w:val="28"/>
          <w:szCs w:val="28"/>
          <w:lang w:val="kk-KZ"/>
        </w:rPr>
        <w:t>ания Крыма // проблемы современ</w:t>
      </w:r>
      <w:r w:rsidRPr="004D71C2">
        <w:rPr>
          <w:rFonts w:eastAsiaTheme="minorHAnsi"/>
          <w:sz w:val="28"/>
          <w:szCs w:val="28"/>
          <w:lang w:val="kk-KZ"/>
        </w:rPr>
        <w:t>ного педагогического образования. – 2016 – №. 51-1. – с. 3-9.</w:t>
      </w:r>
    </w:p>
    <w:p w:rsidR="004D71C2" w:rsidRDefault="004D71C2" w:rsidP="00937357">
      <w:pPr>
        <w:pStyle w:val="a3"/>
        <w:numPr>
          <w:ilvl w:val="0"/>
          <w:numId w:val="4"/>
        </w:numPr>
        <w:spacing w:line="360" w:lineRule="auto"/>
        <w:ind w:left="426" w:right="424"/>
        <w:jc w:val="both"/>
        <w:rPr>
          <w:rFonts w:eastAsiaTheme="minorHAnsi"/>
          <w:sz w:val="28"/>
          <w:szCs w:val="28"/>
          <w:lang w:val="kk-KZ"/>
        </w:rPr>
      </w:pPr>
      <w:r>
        <w:rPr>
          <w:rFonts w:eastAsiaTheme="minorHAnsi"/>
          <w:sz w:val="28"/>
          <w:szCs w:val="28"/>
          <w:lang w:val="kk-KZ"/>
        </w:rPr>
        <w:t>Веденская, Т.Е. П</w:t>
      </w:r>
      <w:r w:rsidRPr="004D71C2">
        <w:rPr>
          <w:rFonts w:eastAsiaTheme="minorHAnsi"/>
          <w:sz w:val="28"/>
          <w:szCs w:val="28"/>
          <w:lang w:val="kk-KZ"/>
        </w:rPr>
        <w:t>онятие «система» и системный подход в педагогике // теория и практика</w:t>
      </w:r>
      <w:r>
        <w:rPr>
          <w:rFonts w:eastAsiaTheme="minorHAnsi"/>
          <w:sz w:val="28"/>
          <w:szCs w:val="28"/>
          <w:lang w:val="kk-KZ"/>
        </w:rPr>
        <w:t xml:space="preserve"> </w:t>
      </w:r>
      <w:r w:rsidRPr="004D71C2">
        <w:rPr>
          <w:rFonts w:eastAsiaTheme="minorHAnsi"/>
          <w:sz w:val="28"/>
          <w:szCs w:val="28"/>
          <w:lang w:val="kk-KZ"/>
        </w:rPr>
        <w:t>общественного развития. – 2015 – №. 7 – с. 197-199.</w:t>
      </w:r>
    </w:p>
    <w:p w:rsidR="000A1B68" w:rsidRPr="000A1B68" w:rsidRDefault="000A1B68" w:rsidP="000A1B68">
      <w:pPr>
        <w:pStyle w:val="a3"/>
        <w:numPr>
          <w:ilvl w:val="0"/>
          <w:numId w:val="4"/>
        </w:numPr>
        <w:spacing w:line="360" w:lineRule="auto"/>
        <w:ind w:left="426" w:right="424"/>
        <w:jc w:val="both"/>
        <w:rPr>
          <w:rFonts w:eastAsiaTheme="minorHAnsi"/>
          <w:sz w:val="28"/>
          <w:szCs w:val="28"/>
          <w:lang w:val="kk-KZ"/>
        </w:rPr>
      </w:pPr>
      <w:r>
        <w:rPr>
          <w:rFonts w:eastAsiaTheme="minorHAnsi"/>
          <w:sz w:val="28"/>
          <w:szCs w:val="28"/>
          <w:lang w:val="kk-KZ"/>
        </w:rPr>
        <w:t>Присяжная, А</w:t>
      </w:r>
      <w:r w:rsidR="00CB2903">
        <w:rPr>
          <w:rFonts w:eastAsiaTheme="minorHAnsi"/>
          <w:sz w:val="28"/>
          <w:szCs w:val="28"/>
          <w:lang w:val="kk-KZ"/>
        </w:rPr>
        <w:t>.Ф. Р</w:t>
      </w:r>
      <w:r w:rsidRPr="000A1B68">
        <w:rPr>
          <w:rFonts w:eastAsiaTheme="minorHAnsi"/>
          <w:sz w:val="28"/>
          <w:szCs w:val="28"/>
          <w:lang w:val="kk-KZ"/>
        </w:rPr>
        <w:t>еализация акмеологического подхода в формировании прогностической</w:t>
      </w:r>
      <w:r>
        <w:rPr>
          <w:rFonts w:eastAsiaTheme="minorHAnsi"/>
          <w:sz w:val="28"/>
          <w:szCs w:val="28"/>
          <w:lang w:val="kk-KZ"/>
        </w:rPr>
        <w:t xml:space="preserve"> </w:t>
      </w:r>
      <w:r w:rsidRPr="000A1B68">
        <w:rPr>
          <w:rFonts w:eastAsiaTheme="minorHAnsi"/>
          <w:sz w:val="28"/>
          <w:szCs w:val="28"/>
          <w:lang w:val="kk-KZ"/>
        </w:rPr>
        <w:t>компетент</w:t>
      </w:r>
      <w:r w:rsidR="003061DD">
        <w:rPr>
          <w:rFonts w:eastAsiaTheme="minorHAnsi"/>
          <w:sz w:val="28"/>
          <w:szCs w:val="28"/>
          <w:lang w:val="kk-KZ"/>
        </w:rPr>
        <w:t>ности будущих педагогов. – М.: МПГУ</w:t>
      </w:r>
      <w:r w:rsidRPr="000A1B68">
        <w:rPr>
          <w:rFonts w:eastAsiaTheme="minorHAnsi"/>
          <w:sz w:val="28"/>
          <w:szCs w:val="28"/>
          <w:lang w:val="kk-KZ"/>
        </w:rPr>
        <w:t>, 2006 – 153 с.</w:t>
      </w:r>
    </w:p>
    <w:sectPr w:rsidR="000A1B68" w:rsidRPr="000A1B68" w:rsidSect="004B328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F206B"/>
    <w:multiLevelType w:val="hybridMultilevel"/>
    <w:tmpl w:val="DDBAE406"/>
    <w:lvl w:ilvl="0" w:tplc="157C7B64">
      <w:start w:val="1"/>
      <w:numFmt w:val="decimal"/>
      <w:lvlText w:val="%1"/>
      <w:lvlJc w:val="left"/>
      <w:pPr>
        <w:ind w:left="720" w:hanging="360"/>
      </w:pPr>
      <w:rPr>
        <w:rFonts w:hint="default"/>
      </w:rPr>
    </w:lvl>
    <w:lvl w:ilvl="1" w:tplc="48ECEA40">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D702D4"/>
    <w:multiLevelType w:val="multilevel"/>
    <w:tmpl w:val="6CD8F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CA1EDC"/>
    <w:multiLevelType w:val="hybridMultilevel"/>
    <w:tmpl w:val="EEE8E1FE"/>
    <w:lvl w:ilvl="0" w:tplc="E2D23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8C0320"/>
    <w:multiLevelType w:val="hybridMultilevel"/>
    <w:tmpl w:val="C63EC1E0"/>
    <w:lvl w:ilvl="0" w:tplc="9424A87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814"/>
    <w:rsid w:val="0000363D"/>
    <w:rsid w:val="000162B0"/>
    <w:rsid w:val="000A1B68"/>
    <w:rsid w:val="000F7349"/>
    <w:rsid w:val="001305DA"/>
    <w:rsid w:val="0016698C"/>
    <w:rsid w:val="002239E6"/>
    <w:rsid w:val="00270BBD"/>
    <w:rsid w:val="002C39DB"/>
    <w:rsid w:val="002F07B3"/>
    <w:rsid w:val="002F1036"/>
    <w:rsid w:val="003061DD"/>
    <w:rsid w:val="00365F9A"/>
    <w:rsid w:val="004B328F"/>
    <w:rsid w:val="004D3AE2"/>
    <w:rsid w:val="004D71C2"/>
    <w:rsid w:val="004F2B72"/>
    <w:rsid w:val="0056577E"/>
    <w:rsid w:val="00637EC1"/>
    <w:rsid w:val="006576F7"/>
    <w:rsid w:val="006A0A14"/>
    <w:rsid w:val="00726281"/>
    <w:rsid w:val="0072779F"/>
    <w:rsid w:val="007670F2"/>
    <w:rsid w:val="0079185F"/>
    <w:rsid w:val="007A53D3"/>
    <w:rsid w:val="008041E7"/>
    <w:rsid w:val="008833D7"/>
    <w:rsid w:val="00937357"/>
    <w:rsid w:val="00937705"/>
    <w:rsid w:val="0095210D"/>
    <w:rsid w:val="009B2687"/>
    <w:rsid w:val="009B2C51"/>
    <w:rsid w:val="009B6449"/>
    <w:rsid w:val="00A04A84"/>
    <w:rsid w:val="00A3224D"/>
    <w:rsid w:val="00B240E3"/>
    <w:rsid w:val="00B913D4"/>
    <w:rsid w:val="00BF7438"/>
    <w:rsid w:val="00C05814"/>
    <w:rsid w:val="00C22EC1"/>
    <w:rsid w:val="00C665E1"/>
    <w:rsid w:val="00C67E24"/>
    <w:rsid w:val="00CA74B0"/>
    <w:rsid w:val="00CB2903"/>
    <w:rsid w:val="00CE0E96"/>
    <w:rsid w:val="00D711F4"/>
    <w:rsid w:val="00E10EEB"/>
    <w:rsid w:val="00E72C0D"/>
    <w:rsid w:val="00E96B5B"/>
    <w:rsid w:val="00F15088"/>
    <w:rsid w:val="00F2657E"/>
    <w:rsid w:val="00F77C8E"/>
    <w:rsid w:val="00F82FCF"/>
    <w:rsid w:val="00FB260A"/>
    <w:rsid w:val="00FE5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6577E"/>
    <w:pPr>
      <w:widowControl w:val="0"/>
      <w:autoSpaceDE w:val="0"/>
      <w:autoSpaceDN w:val="0"/>
      <w:spacing w:after="0" w:line="240" w:lineRule="auto"/>
      <w:ind w:left="822"/>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56577E"/>
    <w:rPr>
      <w:rFonts w:ascii="Times New Roman" w:eastAsia="Times New Roman" w:hAnsi="Times New Roman" w:cs="Times New Roman"/>
      <w:sz w:val="24"/>
      <w:szCs w:val="24"/>
    </w:rPr>
  </w:style>
  <w:style w:type="character" w:styleId="a5">
    <w:name w:val="Emphasis"/>
    <w:basedOn w:val="a0"/>
    <w:uiPriority w:val="20"/>
    <w:qFormat/>
    <w:rsid w:val="008833D7"/>
    <w:rPr>
      <w:i/>
      <w:iCs/>
    </w:rPr>
  </w:style>
  <w:style w:type="paragraph" w:styleId="a6">
    <w:name w:val="List Paragraph"/>
    <w:basedOn w:val="a"/>
    <w:uiPriority w:val="1"/>
    <w:qFormat/>
    <w:rsid w:val="009B2687"/>
    <w:pPr>
      <w:spacing w:after="160" w:line="259" w:lineRule="auto"/>
      <w:ind w:left="720"/>
      <w:contextualSpacing/>
    </w:pPr>
    <w:rPr>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6577E"/>
    <w:pPr>
      <w:widowControl w:val="0"/>
      <w:autoSpaceDE w:val="0"/>
      <w:autoSpaceDN w:val="0"/>
      <w:spacing w:after="0" w:line="240" w:lineRule="auto"/>
      <w:ind w:left="822"/>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56577E"/>
    <w:rPr>
      <w:rFonts w:ascii="Times New Roman" w:eastAsia="Times New Roman" w:hAnsi="Times New Roman" w:cs="Times New Roman"/>
      <w:sz w:val="24"/>
      <w:szCs w:val="24"/>
    </w:rPr>
  </w:style>
  <w:style w:type="character" w:styleId="a5">
    <w:name w:val="Emphasis"/>
    <w:basedOn w:val="a0"/>
    <w:uiPriority w:val="20"/>
    <w:qFormat/>
    <w:rsid w:val="008833D7"/>
    <w:rPr>
      <w:i/>
      <w:iCs/>
    </w:rPr>
  </w:style>
  <w:style w:type="paragraph" w:styleId="a6">
    <w:name w:val="List Paragraph"/>
    <w:basedOn w:val="a"/>
    <w:uiPriority w:val="1"/>
    <w:qFormat/>
    <w:rsid w:val="009B2687"/>
    <w:pPr>
      <w:spacing w:after="160" w:line="259" w:lineRule="auto"/>
      <w:ind w:left="720"/>
      <w:contextualSpacing/>
    </w:pPr>
    <w:rPr>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95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4</Pages>
  <Words>1033</Words>
  <Characters>5889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45</cp:revision>
  <dcterms:created xsi:type="dcterms:W3CDTF">2022-12-05T01:29:00Z</dcterms:created>
  <dcterms:modified xsi:type="dcterms:W3CDTF">2025-02-02T15:17:00Z</dcterms:modified>
</cp:coreProperties>
</file>